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2EBAC" w14:textId="77777777" w:rsidR="003D371D" w:rsidRDefault="00BA5002" w:rsidP="00581EC1">
      <w:pPr>
        <w:pStyle w:val="AUTHORSNAMES"/>
        <w:rPr>
          <w:rFonts w:eastAsiaTheme="majorEastAsia"/>
          <w:sz w:val="36"/>
          <w:szCs w:val="56"/>
          <w:lang w:val="en-US"/>
        </w:rPr>
      </w:pPr>
      <w:r>
        <w:rPr>
          <w:rFonts w:eastAsiaTheme="majorEastAsia"/>
          <w:sz w:val="36"/>
          <w:szCs w:val="56"/>
          <w:lang w:val="en-US"/>
        </w:rPr>
        <w:t>CO aba</w:t>
      </w:r>
      <w:r w:rsidRPr="003D371D">
        <w:rPr>
          <w:rFonts w:eastAsiaTheme="majorEastAsia"/>
          <w:sz w:val="36"/>
          <w:szCs w:val="56"/>
          <w:lang w:val="en-US"/>
        </w:rPr>
        <w:t>tement</w:t>
      </w:r>
      <w:r w:rsidR="003D371D" w:rsidRPr="003D371D">
        <w:rPr>
          <w:rFonts w:eastAsiaTheme="majorEastAsia"/>
          <w:sz w:val="36"/>
          <w:szCs w:val="56"/>
          <w:lang w:val="en-US"/>
        </w:rPr>
        <w:t xml:space="preserve"> via Ir-based catalysts: effect of the support nature and preparation method on catalytic activity and stability</w:t>
      </w:r>
    </w:p>
    <w:p w14:paraId="52980744" w14:textId="77777777" w:rsidR="00631A78" w:rsidRPr="006D322A" w:rsidRDefault="006D322A" w:rsidP="006D322A">
      <w:pPr>
        <w:pStyle w:val="AUTHORSNAMES"/>
        <w:rPr>
          <w:bCs/>
        </w:rPr>
      </w:pPr>
      <w:r>
        <w:t>DROSOU C.</w:t>
      </w:r>
      <w:r w:rsidR="00C7601B" w:rsidRPr="00992AD1">
        <w:rPr>
          <w:vertAlign w:val="superscript"/>
        </w:rPr>
        <w:t>1</w:t>
      </w:r>
      <w:r w:rsidR="00C7601B" w:rsidRPr="00992AD1">
        <w:rPr>
          <w:lang w:val="en-US"/>
        </w:rPr>
        <w:t xml:space="preserve">, </w:t>
      </w:r>
      <w:r>
        <w:t>FOUNTOULI T.V.</w:t>
      </w:r>
      <w:r>
        <w:rPr>
          <w:vertAlign w:val="superscript"/>
        </w:rPr>
        <w:t>1</w:t>
      </w:r>
      <w:r w:rsidR="00C7601B" w:rsidRPr="00992AD1">
        <w:rPr>
          <w:lang w:val="en-US"/>
        </w:rPr>
        <w:t xml:space="preserve">, </w:t>
      </w:r>
      <w:r>
        <w:t>CHARISIOU N.D.</w:t>
      </w:r>
      <w:r>
        <w:rPr>
          <w:vertAlign w:val="superscript"/>
        </w:rPr>
        <w:t>2</w:t>
      </w:r>
      <w:r w:rsidRPr="006D322A">
        <w:t xml:space="preserve"> </w:t>
      </w:r>
      <w:r w:rsidR="00E427A3" w:rsidRPr="006D322A">
        <w:t xml:space="preserve"> </w:t>
      </w:r>
      <w:r>
        <w:t>GOULA M.A.</w:t>
      </w:r>
      <w:r w:rsidRPr="006D322A">
        <w:rPr>
          <w:vertAlign w:val="superscript"/>
        </w:rPr>
        <w:t>2,*</w:t>
      </w:r>
      <w:r>
        <w:t xml:space="preserve"> </w:t>
      </w:r>
      <w:r w:rsidR="00C7601B" w:rsidRPr="00992AD1">
        <w:rPr>
          <w:lang w:val="en-US"/>
        </w:rPr>
        <w:t xml:space="preserve">and </w:t>
      </w:r>
      <w:r>
        <w:t>YENTEKAKIS I.V.</w:t>
      </w:r>
      <w:r>
        <w:rPr>
          <w:vertAlign w:val="superscript"/>
        </w:rPr>
        <w:t>1,*</w:t>
      </w:r>
    </w:p>
    <w:p w14:paraId="2D5B9731" w14:textId="77777777" w:rsidR="00F26AFD" w:rsidRDefault="006D322A" w:rsidP="00F26AFD">
      <w:pPr>
        <w:jc w:val="both"/>
        <w:rPr>
          <w:iCs/>
          <w:sz w:val="18"/>
          <w:szCs w:val="18"/>
          <w:lang w:val="en-GB"/>
        </w:rPr>
      </w:pPr>
      <w:r>
        <w:rPr>
          <w:sz w:val="18"/>
          <w:szCs w:val="20"/>
          <w:vertAlign w:val="superscript"/>
          <w:lang w:val="en-US"/>
        </w:rPr>
        <w:t>1</w:t>
      </w:r>
      <w:r w:rsidR="00102BC8" w:rsidRPr="00102BC8">
        <w:rPr>
          <w:sz w:val="18"/>
          <w:szCs w:val="20"/>
          <w:vertAlign w:val="superscript"/>
          <w:lang w:val="en-US"/>
        </w:rPr>
        <w:t xml:space="preserve"> </w:t>
      </w:r>
      <w:r w:rsidR="00F26AFD" w:rsidRPr="00BA5002">
        <w:rPr>
          <w:iCs/>
          <w:sz w:val="18"/>
          <w:szCs w:val="18"/>
          <w:lang w:val="en-GB"/>
        </w:rPr>
        <w:t>Laboratory of Physical Chemistry &amp; Chemical Processes, School of Environmental Engineering, Technical University of Crete, GR-73100 Chania, Greece</w:t>
      </w:r>
    </w:p>
    <w:p w14:paraId="2DC40453" w14:textId="77777777" w:rsidR="00BA5002" w:rsidRPr="00BA5002" w:rsidRDefault="00BA5002" w:rsidP="00F26AFD">
      <w:pPr>
        <w:jc w:val="both"/>
        <w:rPr>
          <w:iCs/>
          <w:sz w:val="18"/>
          <w:szCs w:val="18"/>
          <w:lang w:val="en-GB"/>
        </w:rPr>
      </w:pPr>
      <w:r w:rsidRPr="00BA5002">
        <w:rPr>
          <w:iCs/>
          <w:sz w:val="18"/>
          <w:szCs w:val="18"/>
          <w:vertAlign w:val="superscript"/>
          <w:lang w:val="en-GB"/>
        </w:rPr>
        <w:t>2</w:t>
      </w:r>
      <w:r w:rsidR="00102BC8" w:rsidRPr="00102BC8">
        <w:rPr>
          <w:iCs/>
          <w:sz w:val="18"/>
          <w:szCs w:val="18"/>
          <w:vertAlign w:val="superscript"/>
          <w:lang w:val="en-US"/>
        </w:rPr>
        <w:t xml:space="preserve"> </w:t>
      </w:r>
      <w:r w:rsidRPr="00BA5002">
        <w:rPr>
          <w:iCs/>
          <w:sz w:val="18"/>
          <w:szCs w:val="18"/>
          <w:lang w:val="en-GB"/>
        </w:rPr>
        <w:t>Laboratory of Alternative Fuels and Environmental Catalysis (LAFEC), Department of Chemical Engineering, University of Western Macedonia, GR-50100, Greece</w:t>
      </w:r>
    </w:p>
    <w:p w14:paraId="53E6AF9B" w14:textId="77777777" w:rsidR="00C7601B" w:rsidRPr="006C3F3F" w:rsidRDefault="00C7601B" w:rsidP="00E427A3">
      <w:pPr>
        <w:spacing w:before="120" w:line="240" w:lineRule="atLeast"/>
        <w:rPr>
          <w:sz w:val="18"/>
          <w:szCs w:val="20"/>
        </w:rPr>
      </w:pPr>
      <w:r w:rsidRPr="006C3F3F">
        <w:rPr>
          <w:sz w:val="18"/>
          <w:szCs w:val="20"/>
        </w:rPr>
        <w:t>*</w:t>
      </w:r>
      <w:r w:rsidR="004D1062">
        <w:rPr>
          <w:sz w:val="18"/>
          <w:szCs w:val="20"/>
        </w:rPr>
        <w:t>corres</w:t>
      </w:r>
      <w:r w:rsidR="00BA5002">
        <w:rPr>
          <w:sz w:val="18"/>
          <w:szCs w:val="20"/>
        </w:rPr>
        <w:t>ponding authors</w:t>
      </w:r>
      <w:r w:rsidRPr="006C3F3F">
        <w:rPr>
          <w:sz w:val="18"/>
          <w:szCs w:val="20"/>
        </w:rPr>
        <w:t>:</w:t>
      </w:r>
    </w:p>
    <w:p w14:paraId="53EBA3C6" w14:textId="77777777" w:rsidR="00C7601B" w:rsidRPr="006C3F3F" w:rsidRDefault="00C7601B" w:rsidP="00BC5C28">
      <w:pPr>
        <w:pBdr>
          <w:bottom w:val="single" w:sz="4" w:space="1" w:color="auto"/>
        </w:pBdr>
        <w:spacing w:line="240" w:lineRule="atLeast"/>
        <w:rPr>
          <w:b/>
          <w:sz w:val="18"/>
          <w:szCs w:val="20"/>
          <w:lang w:val="en-US"/>
        </w:rPr>
      </w:pPr>
      <w:r w:rsidRPr="006C3F3F">
        <w:rPr>
          <w:sz w:val="18"/>
          <w:szCs w:val="20"/>
        </w:rPr>
        <w:t>e-mail:</w:t>
      </w:r>
      <w:r w:rsidRPr="006C3F3F">
        <w:rPr>
          <w:sz w:val="18"/>
          <w:szCs w:val="20"/>
          <w:shd w:val="clear" w:color="auto" w:fill="FFFFFF"/>
        </w:rPr>
        <w:t xml:space="preserve"> </w:t>
      </w:r>
      <w:hyperlink r:id="rId8" w:history="1">
        <w:r w:rsidR="00EE0778" w:rsidRPr="00BA5B88">
          <w:rPr>
            <w:rStyle w:val="-"/>
            <w:sz w:val="18"/>
            <w:szCs w:val="20"/>
          </w:rPr>
          <w:t>yyentek@isc.tuc.gr</w:t>
        </w:r>
      </w:hyperlink>
      <w:r w:rsidR="00EE0778">
        <w:rPr>
          <w:sz w:val="18"/>
          <w:szCs w:val="20"/>
        </w:rPr>
        <w:t xml:space="preserve"> </w:t>
      </w:r>
      <w:r w:rsidR="00BA5002">
        <w:rPr>
          <w:sz w:val="18"/>
          <w:szCs w:val="20"/>
        </w:rPr>
        <w:t xml:space="preserve">(I.V. Yentekakis) and </w:t>
      </w:r>
      <w:hyperlink r:id="rId9" w:history="1">
        <w:r w:rsidR="00BA5002" w:rsidRPr="00BA5002">
          <w:rPr>
            <w:rStyle w:val="-"/>
            <w:sz w:val="18"/>
            <w:szCs w:val="18"/>
            <w:lang w:val="en-GB"/>
          </w:rPr>
          <w:t>mgoula@uowm.gr</w:t>
        </w:r>
      </w:hyperlink>
      <w:r w:rsidR="00BA5002">
        <w:rPr>
          <w:sz w:val="18"/>
          <w:szCs w:val="18"/>
        </w:rPr>
        <w:t xml:space="preserve"> (M.A. Goula)</w:t>
      </w:r>
    </w:p>
    <w:p w14:paraId="11F6D44D" w14:textId="77777777" w:rsidR="00D66B5B" w:rsidRPr="00992AD1" w:rsidRDefault="00D66B5B" w:rsidP="00C7601B">
      <w:pPr>
        <w:spacing w:after="80" w:line="240" w:lineRule="atLeast"/>
        <w:jc w:val="both"/>
        <w:rPr>
          <w:b/>
          <w:sz w:val="22"/>
          <w:szCs w:val="22"/>
          <w:lang w:val="en-US"/>
        </w:rPr>
      </w:pPr>
    </w:p>
    <w:p w14:paraId="453B3AA1" w14:textId="77777777" w:rsidR="00D66B5B" w:rsidRPr="00992AD1" w:rsidRDefault="00D66B5B" w:rsidP="00C7601B">
      <w:pPr>
        <w:spacing w:after="80" w:line="240" w:lineRule="atLeast"/>
        <w:jc w:val="both"/>
        <w:rPr>
          <w:b/>
          <w:sz w:val="22"/>
          <w:szCs w:val="22"/>
          <w:lang w:val="en-US"/>
        </w:rPr>
        <w:sectPr w:rsidR="00D66B5B" w:rsidRPr="00992AD1" w:rsidSect="001A505F">
          <w:headerReference w:type="first" r:id="rId10"/>
          <w:type w:val="continuous"/>
          <w:pgSz w:w="11906" w:h="16838" w:code="9"/>
          <w:pgMar w:top="1021" w:right="1021" w:bottom="1021" w:left="1134" w:header="720" w:footer="720" w:gutter="0"/>
          <w:pgNumType w:start="1"/>
          <w:cols w:space="708"/>
          <w:titlePg/>
          <w:docGrid w:linePitch="360"/>
        </w:sectPr>
      </w:pPr>
    </w:p>
    <w:p w14:paraId="0C451639" w14:textId="77777777" w:rsidR="00EE0778" w:rsidRDefault="00BC5C28" w:rsidP="00EE0778">
      <w:pPr>
        <w:jc w:val="both"/>
        <w:rPr>
          <w:b/>
        </w:rPr>
      </w:pPr>
      <w:r w:rsidRPr="00992AD1">
        <w:rPr>
          <w:b/>
        </w:rPr>
        <w:t>Abstract</w:t>
      </w:r>
      <w:r w:rsidR="000C5670">
        <w:rPr>
          <w:b/>
        </w:rPr>
        <w:t xml:space="preserve"> </w:t>
      </w:r>
    </w:p>
    <w:p w14:paraId="5172331E" w14:textId="77777777" w:rsidR="00EE0778" w:rsidRPr="00B35072" w:rsidRDefault="00EE0778" w:rsidP="00EE0778">
      <w:pPr>
        <w:jc w:val="both"/>
        <w:rPr>
          <w:lang w:val="en-US"/>
        </w:rPr>
      </w:pPr>
      <w:r>
        <w:t xml:space="preserve">In </w:t>
      </w:r>
      <w:r w:rsidR="00BA5002">
        <w:t xml:space="preserve">the </w:t>
      </w:r>
      <w:r>
        <w:t xml:space="preserve">present study </w:t>
      </w:r>
      <w:r w:rsidR="00BA5002">
        <w:t xml:space="preserve">the effect of the support nature and preparation method on the CO abatment catalytic activity and stability of nanostructured </w:t>
      </w:r>
      <w:r w:rsidR="002E4B61">
        <w:t xml:space="preserve">1.0 wt% </w:t>
      </w:r>
      <w:r w:rsidR="00BA5002">
        <w:t>Ir-based catalysts</w:t>
      </w:r>
      <w:r w:rsidR="00850F7E">
        <w:t xml:space="preserve"> is investigated in detail</w:t>
      </w:r>
      <w:r w:rsidR="00BA5002">
        <w:t xml:space="preserve">. </w:t>
      </w:r>
      <w:r w:rsidR="00DB12EF">
        <w:t>More specifically</w:t>
      </w:r>
      <w:r w:rsidR="007C001E">
        <w:t>, the effect of Al</w:t>
      </w:r>
      <w:r w:rsidR="007C001E">
        <w:rPr>
          <w:vertAlign w:val="subscript"/>
        </w:rPr>
        <w:t>2</w:t>
      </w:r>
      <w:r w:rsidR="007C001E">
        <w:t>O</w:t>
      </w:r>
      <w:r w:rsidR="007C001E">
        <w:rPr>
          <w:vertAlign w:val="subscript"/>
        </w:rPr>
        <w:t>3</w:t>
      </w:r>
      <w:r w:rsidR="007C001E">
        <w:t>-Ce</w:t>
      </w:r>
      <w:r w:rsidR="007C001E" w:rsidRPr="00DB12EF">
        <w:rPr>
          <w:vertAlign w:val="subscript"/>
        </w:rPr>
        <w:t>x</w:t>
      </w:r>
      <w:r w:rsidR="007C001E">
        <w:t>-Zr</w:t>
      </w:r>
      <w:r w:rsidR="007C001E" w:rsidRPr="00DB12EF">
        <w:rPr>
          <w:vertAlign w:val="subscript"/>
        </w:rPr>
        <w:t>1-x</w:t>
      </w:r>
      <w:r w:rsidR="007C001E">
        <w:t>O</w:t>
      </w:r>
      <w:r w:rsidR="007C001E">
        <w:rPr>
          <w:vertAlign w:val="subscript"/>
        </w:rPr>
        <w:t>2</w:t>
      </w:r>
      <w:r w:rsidR="007C001E">
        <w:t xml:space="preserve"> (ACZ, x=0, 0.25, 0.5 and 0.75) mixed oxide supports with high oxygen ion lability and surface oxygen vacancies in comparison to the bare Al</w:t>
      </w:r>
      <w:r w:rsidR="007C001E" w:rsidRPr="00850F7E">
        <w:rPr>
          <w:vertAlign w:val="subscript"/>
        </w:rPr>
        <w:t>2</w:t>
      </w:r>
      <w:r w:rsidR="007C001E">
        <w:t>O</w:t>
      </w:r>
      <w:r w:rsidR="007C001E" w:rsidRPr="00850F7E">
        <w:rPr>
          <w:vertAlign w:val="subscript"/>
        </w:rPr>
        <w:t>3</w:t>
      </w:r>
      <w:r w:rsidR="007C001E">
        <w:t xml:space="preserve">, on both </w:t>
      </w:r>
      <w:r w:rsidR="00850F7E">
        <w:t>activity and stability of Ir nanoparticles supported on them is investigated at the temperature range 50-400</w:t>
      </w:r>
      <w:r w:rsidR="00850F7E" w:rsidRPr="00850F7E">
        <w:rPr>
          <w:vertAlign w:val="superscript"/>
        </w:rPr>
        <w:t>o</w:t>
      </w:r>
      <w:r w:rsidR="00850F7E">
        <w:t>C</w:t>
      </w:r>
      <w:r>
        <w:t>.</w:t>
      </w:r>
      <w:r w:rsidR="005E2F0A">
        <w:t xml:space="preserve"> </w:t>
      </w:r>
      <w:r w:rsidR="00850F7E">
        <w:t xml:space="preserve">The composite </w:t>
      </w:r>
      <w:r w:rsidR="005E2F0A">
        <w:t xml:space="preserve">supports were prepared </w:t>
      </w:r>
      <w:r w:rsidR="00850F7E">
        <w:t>following</w:t>
      </w:r>
      <w:r w:rsidR="005E2F0A">
        <w:t xml:space="preserve"> two </w:t>
      </w:r>
      <w:r w:rsidR="00720011">
        <w:t xml:space="preserve">different </w:t>
      </w:r>
      <w:r w:rsidR="00850F7E">
        <w:t>methods:</w:t>
      </w:r>
      <w:r>
        <w:t xml:space="preserve"> </w:t>
      </w:r>
      <w:r w:rsidR="00850F7E">
        <w:t xml:space="preserve">(i) </w:t>
      </w:r>
      <w:r>
        <w:t>co-precipitation</w:t>
      </w:r>
      <w:r w:rsidR="009338C3">
        <w:t xml:space="preserve"> (ACZ-P)</w:t>
      </w:r>
      <w:r>
        <w:t xml:space="preserve"> and (</w:t>
      </w:r>
      <w:r w:rsidR="00850F7E">
        <w:t>ii</w:t>
      </w:r>
      <w:r>
        <w:t>) hydrothermal method</w:t>
      </w:r>
      <w:r w:rsidR="009338C3">
        <w:t xml:space="preserve"> (ACZ-H)</w:t>
      </w:r>
      <w:r w:rsidR="00850F7E">
        <w:t xml:space="preserve"> in order this study to deal </w:t>
      </w:r>
      <w:r w:rsidR="002E4B61">
        <w:t xml:space="preserve">also </w:t>
      </w:r>
      <w:r w:rsidR="00850F7E">
        <w:t>with the effect of the preparation method on</w:t>
      </w:r>
      <w:r w:rsidR="00720011">
        <w:t xml:space="preserve"> </w:t>
      </w:r>
      <w:r w:rsidR="00850F7E">
        <w:rPr>
          <w:lang w:val="en-US"/>
        </w:rPr>
        <w:t xml:space="preserve">catalysts’ performance. </w:t>
      </w:r>
      <w:r w:rsidR="00192414">
        <w:t xml:space="preserve"> </w:t>
      </w:r>
      <w:r w:rsidR="00B35072">
        <w:t>T</w:t>
      </w:r>
      <w:r w:rsidR="005E2F0A">
        <w:t xml:space="preserve">he </w:t>
      </w:r>
      <w:r w:rsidR="002E4B61">
        <w:t xml:space="preserve">textural and stuctural </w:t>
      </w:r>
      <w:r w:rsidR="005E2F0A">
        <w:t xml:space="preserve">properties of </w:t>
      </w:r>
      <w:r w:rsidR="002E4B61">
        <w:t>the supports and the counter</w:t>
      </w:r>
      <w:r w:rsidR="002E4B61">
        <w:rPr>
          <w:lang w:val="en-US"/>
        </w:rPr>
        <w:t>part Ir-supported catalysts</w:t>
      </w:r>
      <w:r w:rsidR="002E4B61">
        <w:t xml:space="preserve"> </w:t>
      </w:r>
      <w:r w:rsidR="005E2F0A">
        <w:t>w</w:t>
      </w:r>
      <w:r w:rsidR="002E4B61">
        <w:t>ere</w:t>
      </w:r>
      <w:r w:rsidR="005E2F0A">
        <w:t xml:space="preserve"> </w:t>
      </w:r>
      <w:r w:rsidR="00B35072">
        <w:t>evaluated</w:t>
      </w:r>
      <w:r w:rsidR="005E2F0A">
        <w:t xml:space="preserve"> by various techniques</w:t>
      </w:r>
      <w:r w:rsidR="002E4B61">
        <w:t>, such</w:t>
      </w:r>
      <w:r w:rsidR="005E2F0A">
        <w:t xml:space="preserve"> as </w:t>
      </w:r>
      <w:r w:rsidR="00020FF2">
        <w:t xml:space="preserve">X-ray diffraction (XRD), </w:t>
      </w:r>
      <w:r w:rsidR="002E4B61">
        <w:t xml:space="preserve">BET-BJH </w:t>
      </w:r>
      <w:r w:rsidR="00020FF2" w:rsidRPr="00020FF2">
        <w:t>N</w:t>
      </w:r>
      <w:r w:rsidR="00020FF2">
        <w:rPr>
          <w:vertAlign w:val="subscript"/>
        </w:rPr>
        <w:t>2</w:t>
      </w:r>
      <w:r w:rsidR="00563049">
        <w:t xml:space="preserve"> </w:t>
      </w:r>
      <w:r w:rsidR="00020FF2">
        <w:t>adsorption</w:t>
      </w:r>
      <w:r w:rsidR="00563049">
        <w:t>-desorption</w:t>
      </w:r>
      <w:r w:rsidR="002E4B61">
        <w:t xml:space="preserve"> method,</w:t>
      </w:r>
      <w:r w:rsidR="00563049">
        <w:t xml:space="preserve"> </w:t>
      </w:r>
      <w:r w:rsidR="002E4B61">
        <w:t>temperature-programmed reduction by H</w:t>
      </w:r>
      <w:r w:rsidR="002E4B61" w:rsidRPr="002E4B61">
        <w:rPr>
          <w:vertAlign w:val="subscript"/>
        </w:rPr>
        <w:t>2</w:t>
      </w:r>
      <w:r w:rsidR="002E4B61">
        <w:t xml:space="preserve"> (H</w:t>
      </w:r>
      <w:r w:rsidR="002E4B61" w:rsidRPr="002E4B61">
        <w:rPr>
          <w:vertAlign w:val="subscript"/>
        </w:rPr>
        <w:t>2</w:t>
      </w:r>
      <w:r w:rsidR="002E4B61">
        <w:t>-</w:t>
      </w:r>
      <w:r>
        <w:t>TPR</w:t>
      </w:r>
      <w:r w:rsidR="002E4B61">
        <w:t>)</w:t>
      </w:r>
      <w:r w:rsidR="009338C3">
        <w:t xml:space="preserve"> </w:t>
      </w:r>
      <w:r w:rsidR="002E4B61">
        <w:t>and isothermal H</w:t>
      </w:r>
      <w:r w:rsidR="002E4B61" w:rsidRPr="002E4B61">
        <w:rPr>
          <w:vertAlign w:val="subscript"/>
        </w:rPr>
        <w:t>2</w:t>
      </w:r>
      <w:r w:rsidR="002E4B61">
        <w:t xml:space="preserve"> chemisorption (H</w:t>
      </w:r>
      <w:r w:rsidR="002E4B61" w:rsidRPr="002E4B61">
        <w:rPr>
          <w:vertAlign w:val="subscript"/>
        </w:rPr>
        <w:t>2</w:t>
      </w:r>
      <w:r w:rsidR="002E4B61">
        <w:t>-Chem)</w:t>
      </w:r>
      <w:r>
        <w:t>.</w:t>
      </w:r>
      <w:r w:rsidR="00116E89">
        <w:t xml:space="preserve"> </w:t>
      </w:r>
      <w:r w:rsidR="002E4B61">
        <w:t xml:space="preserve">Catalytic tests were conducted under both integral (light-off) and differential (turnover </w:t>
      </w:r>
      <w:r w:rsidR="004D37B2">
        <w:t>frequency) reaction conditions using</w:t>
      </w:r>
      <w:r w:rsidR="00192414">
        <w:t xml:space="preserve"> excess </w:t>
      </w:r>
      <w:r w:rsidR="00192414" w:rsidRPr="00B35072">
        <w:t>O</w:t>
      </w:r>
      <w:r w:rsidR="00192414">
        <w:rPr>
          <w:vertAlign w:val="subscript"/>
        </w:rPr>
        <w:t>2</w:t>
      </w:r>
      <w:r w:rsidR="00192414">
        <w:t xml:space="preserve"> (1.0% v/v CO, 5.0% v/v O</w:t>
      </w:r>
      <w:r w:rsidR="00192414">
        <w:rPr>
          <w:vertAlign w:val="subscript"/>
        </w:rPr>
        <w:t>2</w:t>
      </w:r>
      <w:r w:rsidR="00192414">
        <w:t xml:space="preserve">). </w:t>
      </w:r>
      <w:r w:rsidR="00116E89">
        <w:t xml:space="preserve">The results demonstrated that Ir-ACZ-H catalysts have higher </w:t>
      </w:r>
      <w:r w:rsidR="004D37B2">
        <w:t xml:space="preserve">BET </w:t>
      </w:r>
      <w:r w:rsidR="00116E89">
        <w:t>surface area and pore volume</w:t>
      </w:r>
      <w:r w:rsidR="004D37B2">
        <w:t>,</w:t>
      </w:r>
      <w:r w:rsidR="00116E89">
        <w:t xml:space="preserve"> higher Ir-dispersion </w:t>
      </w:r>
      <w:r w:rsidR="004D37B2">
        <w:t xml:space="preserve">and </w:t>
      </w:r>
      <w:r w:rsidR="00B35072">
        <w:t xml:space="preserve">present better </w:t>
      </w:r>
      <w:r w:rsidR="004D37B2">
        <w:t xml:space="preserve">CO abatement efficiency </w:t>
      </w:r>
      <w:r w:rsidR="00B35072">
        <w:t xml:space="preserve">and stability than </w:t>
      </w:r>
      <w:r w:rsidR="00B35072">
        <w:rPr>
          <w:lang w:val="en-US"/>
        </w:rPr>
        <w:t>Ir-ACZ-P.</w:t>
      </w:r>
      <w:r w:rsidR="00B05369">
        <w:rPr>
          <w:lang w:val="en-US"/>
        </w:rPr>
        <w:t xml:space="preserve"> Substantial influences of the support nature on the CO oxidation performance (activity and stability) were also recorded.</w:t>
      </w:r>
      <w:r w:rsidR="00B35072">
        <w:rPr>
          <w:lang w:val="en-US"/>
        </w:rPr>
        <w:t xml:space="preserve"> </w:t>
      </w:r>
    </w:p>
    <w:p w14:paraId="251FD865" w14:textId="77777777" w:rsidR="00EE0778" w:rsidRDefault="00EE0778" w:rsidP="00EE0778">
      <w:pPr>
        <w:pStyle w:val="TEXT"/>
        <w:rPr>
          <w:b/>
        </w:rPr>
      </w:pPr>
    </w:p>
    <w:p w14:paraId="51BD7401" w14:textId="77777777" w:rsidR="005E2F0A" w:rsidRDefault="005E2F0A" w:rsidP="00EE0778">
      <w:pPr>
        <w:pStyle w:val="TEXT"/>
        <w:rPr>
          <w:b/>
        </w:rPr>
      </w:pPr>
    </w:p>
    <w:p w14:paraId="6C1837FB" w14:textId="77777777" w:rsidR="003740C3" w:rsidRPr="00EF2BB2" w:rsidRDefault="00631A78" w:rsidP="00EE0778">
      <w:pPr>
        <w:pStyle w:val="TEXT"/>
        <w:rPr>
          <w:color w:val="000000" w:themeColor="text1"/>
        </w:rPr>
      </w:pPr>
      <w:r w:rsidRPr="006C3F3F">
        <w:rPr>
          <w:b/>
        </w:rPr>
        <w:t>Keywords:</w:t>
      </w:r>
      <w:r w:rsidR="00E063A1">
        <w:rPr>
          <w:i/>
          <w:color w:val="000000" w:themeColor="text1"/>
        </w:rPr>
        <w:t xml:space="preserve">  </w:t>
      </w:r>
      <w:r w:rsidR="00CA2867" w:rsidRPr="00EF2BB2">
        <w:rPr>
          <w:color w:val="000000" w:themeColor="text1"/>
        </w:rPr>
        <w:t xml:space="preserve">CO oxidation, Iridium catalysts, </w:t>
      </w:r>
      <w:r w:rsidR="004D37B2" w:rsidRPr="00EF2BB2">
        <w:rPr>
          <w:color w:val="000000" w:themeColor="text1"/>
        </w:rPr>
        <w:t>Nanocatalysis, Ceria-zirconia composites</w:t>
      </w:r>
    </w:p>
    <w:p w14:paraId="78288E6B" w14:textId="77777777" w:rsidR="007F03BD" w:rsidRDefault="007F03BD" w:rsidP="007F03BD">
      <w:pPr>
        <w:spacing w:before="240" w:after="240" w:line="240" w:lineRule="atLeast"/>
        <w:jc w:val="both"/>
        <w:rPr>
          <w:sz w:val="20"/>
          <w:szCs w:val="20"/>
          <w:lang w:val="en-US"/>
        </w:rPr>
      </w:pPr>
    </w:p>
    <w:p w14:paraId="46EC90FD" w14:textId="77777777" w:rsidR="00D66583" w:rsidRPr="00E063A1" w:rsidRDefault="00D66583" w:rsidP="00EF2BB2">
      <w:pPr>
        <w:spacing w:before="240" w:after="240" w:line="240" w:lineRule="atLeast"/>
        <w:rPr>
          <w:b/>
          <w:sz w:val="20"/>
          <w:szCs w:val="20"/>
          <w:lang w:val="en-US"/>
        </w:rPr>
        <w:sectPr w:rsidR="00D66583" w:rsidRPr="00E063A1" w:rsidSect="001A505F">
          <w:headerReference w:type="first" r:id="rId11"/>
          <w:type w:val="continuous"/>
          <w:pgSz w:w="11906" w:h="16838" w:code="9"/>
          <w:pgMar w:top="1021" w:right="1021" w:bottom="1021" w:left="1134" w:header="720" w:footer="720" w:gutter="0"/>
          <w:pgNumType w:start="1"/>
          <w:cols w:space="708"/>
          <w:titlePg/>
          <w:docGrid w:linePitch="360"/>
        </w:sectPr>
      </w:pPr>
      <w:r w:rsidRPr="004D3F29">
        <w:rPr>
          <w:b/>
          <w:sz w:val="20"/>
          <w:szCs w:val="20"/>
          <w:lang w:val="en-US"/>
        </w:rPr>
        <w:t>Acknowledgements</w:t>
      </w:r>
      <w:r w:rsidRPr="00E063A1">
        <w:rPr>
          <w:b/>
          <w:sz w:val="20"/>
          <w:szCs w:val="20"/>
          <w:lang w:val="en-US"/>
        </w:rPr>
        <w:t xml:space="preserve">: </w:t>
      </w:r>
      <w:r w:rsidR="00E063A1" w:rsidRPr="00E063A1">
        <w:rPr>
          <w:sz w:val="20"/>
          <w:szCs w:val="20"/>
        </w:rPr>
        <w:t>Finan</w:t>
      </w:r>
      <w:r w:rsidR="00EC127A">
        <w:rPr>
          <w:sz w:val="20"/>
          <w:szCs w:val="20"/>
        </w:rPr>
        <w:t>cial</w:t>
      </w:r>
      <w:r w:rsidR="00E063A1" w:rsidRPr="00E063A1">
        <w:rPr>
          <w:sz w:val="20"/>
          <w:szCs w:val="20"/>
        </w:rPr>
        <w:t xml:space="preserve"> support by </w:t>
      </w:r>
      <w:r w:rsidR="00EC127A">
        <w:rPr>
          <w:sz w:val="20"/>
          <w:szCs w:val="20"/>
        </w:rPr>
        <w:t>t</w:t>
      </w:r>
      <w:r w:rsidR="00E063A1" w:rsidRPr="00E063A1">
        <w:rPr>
          <w:sz w:val="20"/>
          <w:szCs w:val="20"/>
        </w:rPr>
        <w:t xml:space="preserve">he </w:t>
      </w:r>
      <w:r w:rsidR="00E063A1" w:rsidRPr="00E063A1">
        <w:rPr>
          <w:i/>
          <w:color w:val="000000" w:themeColor="text1"/>
          <w:sz w:val="20"/>
          <w:szCs w:val="20"/>
        </w:rPr>
        <w:t>GREEK-CHINESE BILATERAL RESEARCH AND INNOVATION COOPERATION, 2018-2021 programmee (Project No: T7</w:t>
      </w:r>
      <w:r w:rsidR="00EC127A">
        <w:rPr>
          <w:i/>
          <w:color w:val="000000" w:themeColor="text1"/>
          <w:sz w:val="20"/>
          <w:szCs w:val="20"/>
          <w:lang w:val="el-GR"/>
        </w:rPr>
        <w:t>ΔΚ</w:t>
      </w:r>
      <w:r w:rsidR="00E063A1" w:rsidRPr="00E063A1">
        <w:rPr>
          <w:i/>
          <w:color w:val="000000" w:themeColor="text1"/>
          <w:sz w:val="20"/>
          <w:szCs w:val="20"/>
        </w:rPr>
        <w:t>I-00356) is gratefully acknowledged.</w:t>
      </w:r>
    </w:p>
    <w:p w14:paraId="7C8305F6" w14:textId="77777777" w:rsidR="007F03BD" w:rsidRPr="00E063A1" w:rsidRDefault="007F03BD" w:rsidP="007F03BD">
      <w:pPr>
        <w:autoSpaceDE w:val="0"/>
        <w:autoSpaceDN w:val="0"/>
        <w:adjustRightInd w:val="0"/>
        <w:spacing w:line="240" w:lineRule="atLeast"/>
        <w:jc w:val="both"/>
        <w:rPr>
          <w:b/>
          <w:sz w:val="18"/>
          <w:szCs w:val="20"/>
          <w:lang w:val="en-US"/>
        </w:rPr>
      </w:pPr>
    </w:p>
    <w:p w14:paraId="49889638" w14:textId="77777777" w:rsidR="007F03BD" w:rsidRPr="00E063A1" w:rsidRDefault="00E35239" w:rsidP="007F03BD">
      <w:pPr>
        <w:spacing w:before="240" w:after="240" w:line="240" w:lineRule="atLeast"/>
        <w:jc w:val="both"/>
        <w:rPr>
          <w:sz w:val="18"/>
          <w:szCs w:val="20"/>
          <w:lang w:val="en-US"/>
        </w:rPr>
      </w:pPr>
      <w:r>
        <w:rPr>
          <w:noProof/>
          <w:sz w:val="18"/>
          <w:szCs w:val="20"/>
          <w:lang w:val="en-US" w:eastAsia="en-US"/>
        </w:rPr>
        <w:drawing>
          <wp:anchor distT="0" distB="0" distL="114300" distR="114300" simplePos="0" relativeHeight="251665408" behindDoc="1" locked="0" layoutInCell="1" allowOverlap="1" wp14:anchorId="753BB655" wp14:editId="0ECEC761">
            <wp:simplePos x="0" y="0"/>
            <wp:positionH relativeFrom="column">
              <wp:posOffset>4690110</wp:posOffset>
            </wp:positionH>
            <wp:positionV relativeFrom="paragraph">
              <wp:posOffset>509270</wp:posOffset>
            </wp:positionV>
            <wp:extent cx="1390650" cy="790575"/>
            <wp:effectExtent l="19050" t="0" r="0" b="0"/>
            <wp:wrapTight wrapText="bothSides">
              <wp:wrapPolygon edited="0">
                <wp:start x="-296" y="0"/>
                <wp:lineTo x="-296" y="21340"/>
                <wp:lineTo x="21600" y="21340"/>
                <wp:lineTo x="21600" y="0"/>
                <wp:lineTo x="-296" y="0"/>
              </wp:wrapPolygon>
            </wp:wrapTight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20"/>
          <w:lang w:val="en-US" w:eastAsia="en-US"/>
        </w:rPr>
        <w:drawing>
          <wp:anchor distT="0" distB="0" distL="114300" distR="114300" simplePos="0" relativeHeight="251663360" behindDoc="1" locked="0" layoutInCell="1" allowOverlap="1" wp14:anchorId="2DC38851" wp14:editId="4151481E">
            <wp:simplePos x="0" y="0"/>
            <wp:positionH relativeFrom="column">
              <wp:posOffset>2747010</wp:posOffset>
            </wp:positionH>
            <wp:positionV relativeFrom="paragraph">
              <wp:posOffset>575945</wp:posOffset>
            </wp:positionV>
            <wp:extent cx="1850390" cy="790575"/>
            <wp:effectExtent l="19050" t="19050" r="16510" b="28575"/>
            <wp:wrapTight wrapText="bothSides">
              <wp:wrapPolygon edited="0">
                <wp:start x="-222" y="-520"/>
                <wp:lineTo x="-222" y="22381"/>
                <wp:lineTo x="21793" y="22381"/>
                <wp:lineTo x="21793" y="-520"/>
                <wp:lineTo x="-222" y="-520"/>
              </wp:wrapPolygon>
            </wp:wrapTight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790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20000"/>
                          <a:lumOff val="8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664885AE" wp14:editId="073D5BCD">
            <wp:simplePos x="0" y="0"/>
            <wp:positionH relativeFrom="column">
              <wp:posOffset>3810</wp:posOffset>
            </wp:positionH>
            <wp:positionV relativeFrom="paragraph">
              <wp:posOffset>509270</wp:posOffset>
            </wp:positionV>
            <wp:extent cx="1174750" cy="981075"/>
            <wp:effectExtent l="19050" t="0" r="6350" b="0"/>
            <wp:wrapTight wrapText="bothSides">
              <wp:wrapPolygon edited="0">
                <wp:start x="-350" y="0"/>
                <wp:lineTo x="-350" y="21390"/>
                <wp:lineTo x="21717" y="21390"/>
                <wp:lineTo x="21717" y="0"/>
                <wp:lineTo x="-35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20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57F7770D" wp14:editId="4B9F14AC">
            <wp:simplePos x="0" y="0"/>
            <wp:positionH relativeFrom="column">
              <wp:posOffset>1346835</wp:posOffset>
            </wp:positionH>
            <wp:positionV relativeFrom="paragraph">
              <wp:posOffset>509270</wp:posOffset>
            </wp:positionV>
            <wp:extent cx="1285875" cy="876300"/>
            <wp:effectExtent l="19050" t="0" r="9525" b="0"/>
            <wp:wrapTight wrapText="bothSides">
              <wp:wrapPolygon edited="0">
                <wp:start x="-320" y="0"/>
                <wp:lineTo x="-320" y="21130"/>
                <wp:lineTo x="21760" y="21130"/>
                <wp:lineTo x="21760" y="0"/>
                <wp:lineTo x="-320" y="0"/>
              </wp:wrapPolygon>
            </wp:wrapTight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F7B2E5" w14:textId="77777777" w:rsidR="00E35239" w:rsidRPr="00E063A1" w:rsidRDefault="00E35239" w:rsidP="007F03BD">
      <w:pPr>
        <w:spacing w:before="240" w:after="240" w:line="240" w:lineRule="atLeast"/>
        <w:jc w:val="both"/>
        <w:rPr>
          <w:sz w:val="18"/>
          <w:szCs w:val="20"/>
          <w:lang w:val="en-US"/>
        </w:rPr>
      </w:pPr>
    </w:p>
    <w:p w14:paraId="1496B8C9" w14:textId="77777777" w:rsidR="00E35239" w:rsidRPr="00E063A1" w:rsidRDefault="00E35239" w:rsidP="007F03BD">
      <w:pPr>
        <w:spacing w:before="240" w:after="240" w:line="240" w:lineRule="atLeast"/>
        <w:jc w:val="both"/>
        <w:rPr>
          <w:sz w:val="18"/>
          <w:szCs w:val="20"/>
          <w:lang w:val="en-US"/>
        </w:rPr>
      </w:pPr>
    </w:p>
    <w:sectPr w:rsidR="00E35239" w:rsidRPr="00E063A1" w:rsidSect="001A505F">
      <w:type w:val="continuous"/>
      <w:pgSz w:w="11906" w:h="16838" w:code="9"/>
      <w:pgMar w:top="1021" w:right="1021" w:bottom="1021" w:left="1134" w:header="720" w:footer="720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9FA1E" w14:textId="77777777" w:rsidR="00754263" w:rsidRDefault="00754263">
      <w:r>
        <w:separator/>
      </w:r>
    </w:p>
  </w:endnote>
  <w:endnote w:type="continuationSeparator" w:id="0">
    <w:p w14:paraId="10AF327E" w14:textId="77777777" w:rsidR="00754263" w:rsidRDefault="0075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1C16A" w14:textId="77777777" w:rsidR="00754263" w:rsidRDefault="00754263">
      <w:r>
        <w:separator/>
      </w:r>
    </w:p>
  </w:footnote>
  <w:footnote w:type="continuationSeparator" w:id="0">
    <w:p w14:paraId="47CA7F7A" w14:textId="77777777" w:rsidR="00754263" w:rsidRDefault="00754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ook w:val="04A0" w:firstRow="1" w:lastRow="0" w:firstColumn="1" w:lastColumn="0" w:noHBand="0" w:noVBand="1"/>
    </w:tblPr>
    <w:tblGrid>
      <w:gridCol w:w="2671"/>
      <w:gridCol w:w="7080"/>
    </w:tblGrid>
    <w:tr w:rsidR="000C5670" w:rsidRPr="00C4604B" w14:paraId="33339E9C" w14:textId="77777777" w:rsidTr="006C3F3F">
      <w:trPr>
        <w:trHeight w:val="345"/>
        <w:jc w:val="center"/>
      </w:trPr>
      <w:tc>
        <w:tcPr>
          <w:tcW w:w="1179" w:type="pct"/>
          <w:vMerge w:val="restart"/>
          <w:vAlign w:val="center"/>
        </w:tcPr>
        <w:p w14:paraId="62199017" w14:textId="77777777" w:rsidR="000C5670" w:rsidRPr="00860F40" w:rsidRDefault="00FE4361" w:rsidP="00992AD1">
          <w:pPr>
            <w:ind w:left="-96"/>
            <w:jc w:val="right"/>
            <w:rPr>
              <w:rFonts w:ascii="Arial" w:hAnsi="Arial"/>
              <w:i/>
              <w:sz w:val="18"/>
              <w:szCs w:val="18"/>
              <w:highlight w:val="yellow"/>
            </w:rPr>
          </w:pPr>
          <w:r>
            <w:rPr>
              <w:rFonts w:ascii="Arial" w:hAnsi="Arial"/>
              <w:i/>
              <w:noProof/>
              <w:sz w:val="18"/>
              <w:szCs w:val="18"/>
              <w:lang w:val="en-US" w:eastAsia="en-US"/>
            </w:rPr>
            <w:drawing>
              <wp:inline distT="0" distB="0" distL="0" distR="0" wp14:anchorId="2358B4F0" wp14:editId="1D221DA7">
                <wp:extent cx="1620000" cy="517019"/>
                <wp:effectExtent l="0" t="0" r="0" b="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517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1" w:type="pct"/>
          <w:vAlign w:val="center"/>
        </w:tcPr>
        <w:p w14:paraId="09B9AD22" w14:textId="77777777" w:rsidR="000C5670" w:rsidRPr="00992AD1" w:rsidRDefault="000C5670" w:rsidP="00992AD1">
          <w:pPr>
            <w:jc w:val="right"/>
            <w:rPr>
              <w:i/>
              <w:sz w:val="18"/>
              <w:szCs w:val="18"/>
              <w:lang w:val="en-GB"/>
            </w:rPr>
          </w:pPr>
          <w:r w:rsidRPr="00992AD1">
            <w:rPr>
              <w:i/>
              <w:sz w:val="18"/>
              <w:szCs w:val="18"/>
              <w:lang w:val="en-GB"/>
            </w:rPr>
            <w:t>1</w:t>
          </w:r>
          <w:r w:rsidR="00FE4361">
            <w:rPr>
              <w:i/>
              <w:sz w:val="18"/>
              <w:szCs w:val="18"/>
              <w:lang w:val="en-GB"/>
            </w:rPr>
            <w:t>7</w:t>
          </w:r>
          <w:r w:rsidRPr="00992AD1">
            <w:rPr>
              <w:i/>
              <w:sz w:val="18"/>
              <w:szCs w:val="18"/>
              <w:vertAlign w:val="superscript"/>
              <w:lang w:val="en-GB"/>
            </w:rPr>
            <w:t>th</w:t>
          </w:r>
          <w:r w:rsidRPr="00992AD1">
            <w:rPr>
              <w:i/>
              <w:sz w:val="18"/>
              <w:szCs w:val="18"/>
              <w:lang w:val="en-GB"/>
            </w:rPr>
            <w:t xml:space="preserve"> International Conference on Environmental Science and Technology</w:t>
          </w:r>
        </w:p>
      </w:tc>
    </w:tr>
    <w:tr w:rsidR="000C5670" w:rsidRPr="00DC4FA9" w14:paraId="67F312E9" w14:textId="77777777" w:rsidTr="006C3F3F">
      <w:trPr>
        <w:trHeight w:val="345"/>
        <w:jc w:val="center"/>
      </w:trPr>
      <w:tc>
        <w:tcPr>
          <w:tcW w:w="1179" w:type="pct"/>
          <w:vMerge/>
          <w:vAlign w:val="center"/>
        </w:tcPr>
        <w:p w14:paraId="5E58956C" w14:textId="77777777" w:rsidR="000C5670" w:rsidRPr="00C4604B" w:rsidRDefault="000C5670" w:rsidP="00992AD1">
          <w:pPr>
            <w:ind w:firstLine="360"/>
            <w:jc w:val="right"/>
            <w:rPr>
              <w:rFonts w:ascii="Arial" w:hAnsi="Arial"/>
              <w:i/>
              <w:sz w:val="18"/>
              <w:szCs w:val="18"/>
              <w:lang w:val="en-GB"/>
            </w:rPr>
          </w:pPr>
        </w:p>
      </w:tc>
      <w:tc>
        <w:tcPr>
          <w:tcW w:w="3821" w:type="pct"/>
          <w:vAlign w:val="center"/>
        </w:tcPr>
        <w:p w14:paraId="07692668" w14:textId="77777777" w:rsidR="000C5670" w:rsidRPr="00992AD1" w:rsidRDefault="00FE4361" w:rsidP="00992AD1">
          <w:pPr>
            <w:ind w:firstLine="360"/>
            <w:jc w:val="right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Athens</w:t>
          </w:r>
          <w:r w:rsidR="000C5670" w:rsidRPr="00992AD1">
            <w:rPr>
              <w:i/>
              <w:sz w:val="18"/>
              <w:szCs w:val="18"/>
            </w:rPr>
            <w:t xml:space="preserve">, Greece, </w:t>
          </w:r>
          <w:r>
            <w:rPr>
              <w:i/>
              <w:sz w:val="18"/>
              <w:szCs w:val="18"/>
            </w:rPr>
            <w:t>1</w:t>
          </w:r>
          <w:r w:rsidR="000C5670" w:rsidRPr="00992AD1">
            <w:rPr>
              <w:i/>
              <w:sz w:val="18"/>
              <w:szCs w:val="18"/>
            </w:rPr>
            <w:t xml:space="preserve"> to </w:t>
          </w:r>
          <w:r>
            <w:rPr>
              <w:i/>
              <w:sz w:val="18"/>
              <w:szCs w:val="18"/>
            </w:rPr>
            <w:t>4</w:t>
          </w:r>
          <w:r w:rsidR="000C5670" w:rsidRPr="00992AD1">
            <w:rPr>
              <w:i/>
              <w:sz w:val="18"/>
              <w:szCs w:val="18"/>
            </w:rPr>
            <w:t xml:space="preserve"> September 20</w:t>
          </w:r>
          <w:r>
            <w:rPr>
              <w:i/>
              <w:sz w:val="18"/>
              <w:szCs w:val="18"/>
            </w:rPr>
            <w:t>21</w:t>
          </w:r>
        </w:p>
      </w:tc>
    </w:tr>
  </w:tbl>
  <w:p w14:paraId="73295826" w14:textId="77777777" w:rsidR="000C5670" w:rsidRDefault="000C567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41434" w14:textId="2F5AD09C" w:rsidR="000C5670" w:rsidRDefault="001B31B5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40D84791" wp14:editId="29474CD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267700" cy="1102360"/>
              <wp:effectExtent l="0" t="2619375" r="0" b="2583815"/>
              <wp:wrapNone/>
              <wp:docPr id="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267700" cy="11023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5D984B" w14:textId="77777777" w:rsidR="001B31B5" w:rsidRDefault="001B31B5" w:rsidP="001B31B5">
                          <w:pPr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PAPER TEMPLATE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84791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651pt;height:86.8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" o:allowincell="f" filled="f" stroked="f">
              <v:stroke joinstyle="round"/>
              <o:lock v:ext="edit" shapetype="t"/>
              <v:textbox style="mso-fit-shape-to-text:t">
                <w:txbxContent>
                  <w:p w14:paraId="1D5D984B" w14:textId="77777777" w:rsidR="001B31B5" w:rsidRDefault="001B31B5" w:rsidP="001B31B5">
                    <w:pPr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PAPER TEMPLATE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8D7D8F"/>
    <w:multiLevelType w:val="hybridMultilevel"/>
    <w:tmpl w:val="CDF82AE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71392"/>
    <w:multiLevelType w:val="hybridMultilevel"/>
    <w:tmpl w:val="296EAF32"/>
    <w:lvl w:ilvl="0" w:tplc="851CFC2C">
      <w:start w:val="1"/>
      <w:numFmt w:val="decimal"/>
      <w:pStyle w:val="Maintitl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42"/>
    <w:rsid w:val="000064B4"/>
    <w:rsid w:val="00020FF2"/>
    <w:rsid w:val="0002244C"/>
    <w:rsid w:val="00035F63"/>
    <w:rsid w:val="000469B1"/>
    <w:rsid w:val="0007506E"/>
    <w:rsid w:val="00076BDD"/>
    <w:rsid w:val="00080E03"/>
    <w:rsid w:val="0008182E"/>
    <w:rsid w:val="00087637"/>
    <w:rsid w:val="000A7DEE"/>
    <w:rsid w:val="000B40EA"/>
    <w:rsid w:val="000C5670"/>
    <w:rsid w:val="000C5BFA"/>
    <w:rsid w:val="000D409B"/>
    <w:rsid w:val="000F7F61"/>
    <w:rsid w:val="00102046"/>
    <w:rsid w:val="00102BC8"/>
    <w:rsid w:val="00116E89"/>
    <w:rsid w:val="001207C5"/>
    <w:rsid w:val="00134E74"/>
    <w:rsid w:val="001477D2"/>
    <w:rsid w:val="001741FB"/>
    <w:rsid w:val="00184961"/>
    <w:rsid w:val="00191B01"/>
    <w:rsid w:val="00192414"/>
    <w:rsid w:val="001A3227"/>
    <w:rsid w:val="001A363D"/>
    <w:rsid w:val="001A4D73"/>
    <w:rsid w:val="001A505F"/>
    <w:rsid w:val="001B31B5"/>
    <w:rsid w:val="001C04A1"/>
    <w:rsid w:val="001C0A29"/>
    <w:rsid w:val="001C45BB"/>
    <w:rsid w:val="001D5FB8"/>
    <w:rsid w:val="001F2235"/>
    <w:rsid w:val="0020695F"/>
    <w:rsid w:val="002160E4"/>
    <w:rsid w:val="0022110C"/>
    <w:rsid w:val="00221D5B"/>
    <w:rsid w:val="00221F7E"/>
    <w:rsid w:val="0022532F"/>
    <w:rsid w:val="00227DB6"/>
    <w:rsid w:val="0024206A"/>
    <w:rsid w:val="00255B6B"/>
    <w:rsid w:val="0026333E"/>
    <w:rsid w:val="00280DC4"/>
    <w:rsid w:val="00286271"/>
    <w:rsid w:val="002A41A7"/>
    <w:rsid w:val="002A57FE"/>
    <w:rsid w:val="002A6999"/>
    <w:rsid w:val="002B7A85"/>
    <w:rsid w:val="002C5707"/>
    <w:rsid w:val="002C5C1D"/>
    <w:rsid w:val="002D0FA1"/>
    <w:rsid w:val="002D14E9"/>
    <w:rsid w:val="002E4B61"/>
    <w:rsid w:val="002E7890"/>
    <w:rsid w:val="002F4BD5"/>
    <w:rsid w:val="003315A2"/>
    <w:rsid w:val="00343018"/>
    <w:rsid w:val="003462C5"/>
    <w:rsid w:val="00352177"/>
    <w:rsid w:val="00370CAD"/>
    <w:rsid w:val="00372F9C"/>
    <w:rsid w:val="003740C3"/>
    <w:rsid w:val="003941CD"/>
    <w:rsid w:val="003A39EF"/>
    <w:rsid w:val="003B5563"/>
    <w:rsid w:val="003C1716"/>
    <w:rsid w:val="003D371D"/>
    <w:rsid w:val="0040446C"/>
    <w:rsid w:val="004121EB"/>
    <w:rsid w:val="00440937"/>
    <w:rsid w:val="00442546"/>
    <w:rsid w:val="0045109A"/>
    <w:rsid w:val="00454E34"/>
    <w:rsid w:val="004858D2"/>
    <w:rsid w:val="004A18AF"/>
    <w:rsid w:val="004A53B9"/>
    <w:rsid w:val="004A6949"/>
    <w:rsid w:val="004B49DE"/>
    <w:rsid w:val="004B52E0"/>
    <w:rsid w:val="004D1062"/>
    <w:rsid w:val="004D37B2"/>
    <w:rsid w:val="004D3F29"/>
    <w:rsid w:val="004D70C4"/>
    <w:rsid w:val="004E3032"/>
    <w:rsid w:val="004E5F12"/>
    <w:rsid w:val="00500981"/>
    <w:rsid w:val="00525632"/>
    <w:rsid w:val="0052657C"/>
    <w:rsid w:val="00535FBC"/>
    <w:rsid w:val="00536D70"/>
    <w:rsid w:val="00541E35"/>
    <w:rsid w:val="005621DC"/>
    <w:rsid w:val="00563049"/>
    <w:rsid w:val="00563147"/>
    <w:rsid w:val="00567E13"/>
    <w:rsid w:val="00574FD1"/>
    <w:rsid w:val="00581EC1"/>
    <w:rsid w:val="0058292C"/>
    <w:rsid w:val="00586E01"/>
    <w:rsid w:val="005A1818"/>
    <w:rsid w:val="005A7464"/>
    <w:rsid w:val="005A7FB7"/>
    <w:rsid w:val="005B128A"/>
    <w:rsid w:val="005B6BC2"/>
    <w:rsid w:val="005D7789"/>
    <w:rsid w:val="005E1504"/>
    <w:rsid w:val="005E2F0A"/>
    <w:rsid w:val="005E7D10"/>
    <w:rsid w:val="005F4DAC"/>
    <w:rsid w:val="006213B4"/>
    <w:rsid w:val="00631A78"/>
    <w:rsid w:val="00642C74"/>
    <w:rsid w:val="006442BB"/>
    <w:rsid w:val="00646592"/>
    <w:rsid w:val="00646D94"/>
    <w:rsid w:val="00655911"/>
    <w:rsid w:val="00662B3B"/>
    <w:rsid w:val="006703F2"/>
    <w:rsid w:val="00673DB8"/>
    <w:rsid w:val="006A0EFC"/>
    <w:rsid w:val="006B464A"/>
    <w:rsid w:val="006B76E5"/>
    <w:rsid w:val="006C3F3F"/>
    <w:rsid w:val="006C3FA5"/>
    <w:rsid w:val="006D322A"/>
    <w:rsid w:val="006D50E1"/>
    <w:rsid w:val="006D7224"/>
    <w:rsid w:val="006E1061"/>
    <w:rsid w:val="006E24D1"/>
    <w:rsid w:val="006E2C1A"/>
    <w:rsid w:val="006E599E"/>
    <w:rsid w:val="006F2252"/>
    <w:rsid w:val="006F3AA7"/>
    <w:rsid w:val="00703075"/>
    <w:rsid w:val="00703645"/>
    <w:rsid w:val="00706CFD"/>
    <w:rsid w:val="007179B8"/>
    <w:rsid w:val="00720011"/>
    <w:rsid w:val="00732746"/>
    <w:rsid w:val="00736B5E"/>
    <w:rsid w:val="00746D03"/>
    <w:rsid w:val="00754263"/>
    <w:rsid w:val="0076035C"/>
    <w:rsid w:val="007704A4"/>
    <w:rsid w:val="007963D0"/>
    <w:rsid w:val="007968AA"/>
    <w:rsid w:val="007A0894"/>
    <w:rsid w:val="007C001E"/>
    <w:rsid w:val="007E7A35"/>
    <w:rsid w:val="007F03BD"/>
    <w:rsid w:val="007F2560"/>
    <w:rsid w:val="007F3095"/>
    <w:rsid w:val="007F7A38"/>
    <w:rsid w:val="00801216"/>
    <w:rsid w:val="00820450"/>
    <w:rsid w:val="00827B86"/>
    <w:rsid w:val="00841A6A"/>
    <w:rsid w:val="00843B9E"/>
    <w:rsid w:val="00843F09"/>
    <w:rsid w:val="00850F7E"/>
    <w:rsid w:val="008639E6"/>
    <w:rsid w:val="0088058B"/>
    <w:rsid w:val="00886AE0"/>
    <w:rsid w:val="008B0BA6"/>
    <w:rsid w:val="008D52D2"/>
    <w:rsid w:val="008E3D2C"/>
    <w:rsid w:val="008E3E44"/>
    <w:rsid w:val="0092029B"/>
    <w:rsid w:val="00927B24"/>
    <w:rsid w:val="009338C3"/>
    <w:rsid w:val="00933D01"/>
    <w:rsid w:val="00935BBC"/>
    <w:rsid w:val="0093776C"/>
    <w:rsid w:val="00945D56"/>
    <w:rsid w:val="009858BD"/>
    <w:rsid w:val="009925A5"/>
    <w:rsid w:val="00992AD1"/>
    <w:rsid w:val="009A4DC8"/>
    <w:rsid w:val="009B43E0"/>
    <w:rsid w:val="009C1A96"/>
    <w:rsid w:val="009C1D32"/>
    <w:rsid w:val="009E4188"/>
    <w:rsid w:val="009E58BA"/>
    <w:rsid w:val="009E5ED7"/>
    <w:rsid w:val="009F6AA4"/>
    <w:rsid w:val="00A105B1"/>
    <w:rsid w:val="00A105C0"/>
    <w:rsid w:val="00A2097C"/>
    <w:rsid w:val="00A221FB"/>
    <w:rsid w:val="00A23E96"/>
    <w:rsid w:val="00A25B0F"/>
    <w:rsid w:val="00A4160E"/>
    <w:rsid w:val="00A47A05"/>
    <w:rsid w:val="00A5581F"/>
    <w:rsid w:val="00A93BFA"/>
    <w:rsid w:val="00AA0F27"/>
    <w:rsid w:val="00AB66E9"/>
    <w:rsid w:val="00AC7B57"/>
    <w:rsid w:val="00AD5FC1"/>
    <w:rsid w:val="00B05369"/>
    <w:rsid w:val="00B10CCE"/>
    <w:rsid w:val="00B20D15"/>
    <w:rsid w:val="00B26AB1"/>
    <w:rsid w:val="00B302ED"/>
    <w:rsid w:val="00B32608"/>
    <w:rsid w:val="00B35072"/>
    <w:rsid w:val="00B40FEE"/>
    <w:rsid w:val="00B47B94"/>
    <w:rsid w:val="00B51CC8"/>
    <w:rsid w:val="00B667D9"/>
    <w:rsid w:val="00B7041C"/>
    <w:rsid w:val="00B7076D"/>
    <w:rsid w:val="00B70CCA"/>
    <w:rsid w:val="00B71424"/>
    <w:rsid w:val="00B86F2A"/>
    <w:rsid w:val="00B9173B"/>
    <w:rsid w:val="00BA082D"/>
    <w:rsid w:val="00BA5002"/>
    <w:rsid w:val="00BA54F4"/>
    <w:rsid w:val="00BB231E"/>
    <w:rsid w:val="00BC09FB"/>
    <w:rsid w:val="00BC5931"/>
    <w:rsid w:val="00BC5C28"/>
    <w:rsid w:val="00BF467D"/>
    <w:rsid w:val="00C0230F"/>
    <w:rsid w:val="00C22314"/>
    <w:rsid w:val="00C36DC6"/>
    <w:rsid w:val="00C47059"/>
    <w:rsid w:val="00C536E5"/>
    <w:rsid w:val="00C60C21"/>
    <w:rsid w:val="00C7601B"/>
    <w:rsid w:val="00C83D61"/>
    <w:rsid w:val="00C860B2"/>
    <w:rsid w:val="00C976CA"/>
    <w:rsid w:val="00CA2867"/>
    <w:rsid w:val="00CC504A"/>
    <w:rsid w:val="00CC5890"/>
    <w:rsid w:val="00CC67DA"/>
    <w:rsid w:val="00CC68D7"/>
    <w:rsid w:val="00CD7BBE"/>
    <w:rsid w:val="00CE1744"/>
    <w:rsid w:val="00CE6DFA"/>
    <w:rsid w:val="00CF5203"/>
    <w:rsid w:val="00D02261"/>
    <w:rsid w:val="00D17151"/>
    <w:rsid w:val="00D20582"/>
    <w:rsid w:val="00D21666"/>
    <w:rsid w:val="00D23ACA"/>
    <w:rsid w:val="00D4177F"/>
    <w:rsid w:val="00D4363A"/>
    <w:rsid w:val="00D46495"/>
    <w:rsid w:val="00D52574"/>
    <w:rsid w:val="00D5349B"/>
    <w:rsid w:val="00D637FE"/>
    <w:rsid w:val="00D66583"/>
    <w:rsid w:val="00D66B5B"/>
    <w:rsid w:val="00D66EBE"/>
    <w:rsid w:val="00D71D6C"/>
    <w:rsid w:val="00D76FE1"/>
    <w:rsid w:val="00D94D2A"/>
    <w:rsid w:val="00DA7CAE"/>
    <w:rsid w:val="00DB12EF"/>
    <w:rsid w:val="00DD6031"/>
    <w:rsid w:val="00DD6C4A"/>
    <w:rsid w:val="00DF58D8"/>
    <w:rsid w:val="00E000EE"/>
    <w:rsid w:val="00E063A1"/>
    <w:rsid w:val="00E15B65"/>
    <w:rsid w:val="00E30DA5"/>
    <w:rsid w:val="00E35239"/>
    <w:rsid w:val="00E427A3"/>
    <w:rsid w:val="00E433A6"/>
    <w:rsid w:val="00E43C0B"/>
    <w:rsid w:val="00E62D42"/>
    <w:rsid w:val="00E73779"/>
    <w:rsid w:val="00E849BB"/>
    <w:rsid w:val="00E94329"/>
    <w:rsid w:val="00E958BD"/>
    <w:rsid w:val="00EB4A59"/>
    <w:rsid w:val="00EC0B14"/>
    <w:rsid w:val="00EC127A"/>
    <w:rsid w:val="00EE0778"/>
    <w:rsid w:val="00EE1BB1"/>
    <w:rsid w:val="00EE327E"/>
    <w:rsid w:val="00EF2BB2"/>
    <w:rsid w:val="00F02A55"/>
    <w:rsid w:val="00F06FDC"/>
    <w:rsid w:val="00F10EB1"/>
    <w:rsid w:val="00F11EED"/>
    <w:rsid w:val="00F15AA7"/>
    <w:rsid w:val="00F26AFD"/>
    <w:rsid w:val="00F31232"/>
    <w:rsid w:val="00F40ABD"/>
    <w:rsid w:val="00F41C17"/>
    <w:rsid w:val="00F62EC1"/>
    <w:rsid w:val="00F75133"/>
    <w:rsid w:val="00F81B4D"/>
    <w:rsid w:val="00F824F0"/>
    <w:rsid w:val="00F862DB"/>
    <w:rsid w:val="00FB017E"/>
    <w:rsid w:val="00FC0591"/>
    <w:rsid w:val="00FC26B7"/>
    <w:rsid w:val="00FD4099"/>
    <w:rsid w:val="00FD779D"/>
    <w:rsid w:val="00FE4361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8FD7A"/>
  <w15:docId w15:val="{E5E6314C-D272-4FA8-AAE4-D8E610C2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292C"/>
    <w:rPr>
      <w:sz w:val="24"/>
      <w:szCs w:val="24"/>
      <w:lang w:val="tr-TR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8292C"/>
    <w:pPr>
      <w:spacing w:before="100" w:beforeAutospacing="1" w:after="100" w:afterAutospacing="1" w:line="360" w:lineRule="auto"/>
    </w:pPr>
    <w:rPr>
      <w:color w:val="000000"/>
    </w:rPr>
  </w:style>
  <w:style w:type="paragraph" w:styleId="a3">
    <w:name w:val="footer"/>
    <w:basedOn w:val="a"/>
    <w:rsid w:val="0058292C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58292C"/>
  </w:style>
  <w:style w:type="table" w:styleId="a5">
    <w:name w:val="Table Grid"/>
    <w:basedOn w:val="a1"/>
    <w:rsid w:val="00C3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9C1A9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C1A96"/>
    <w:rPr>
      <w:rFonts w:ascii="Tahoma" w:hAnsi="Tahoma" w:cs="Tahoma"/>
      <w:sz w:val="16"/>
      <w:szCs w:val="16"/>
      <w:lang w:val="tr-TR" w:eastAsia="tr-TR"/>
    </w:rPr>
  </w:style>
  <w:style w:type="character" w:styleId="a7">
    <w:name w:val="annotation reference"/>
    <w:basedOn w:val="a0"/>
    <w:rsid w:val="00C47059"/>
    <w:rPr>
      <w:sz w:val="16"/>
      <w:szCs w:val="16"/>
    </w:rPr>
  </w:style>
  <w:style w:type="paragraph" w:styleId="a8">
    <w:name w:val="annotation text"/>
    <w:basedOn w:val="a"/>
    <w:link w:val="Char0"/>
    <w:rsid w:val="00C47059"/>
    <w:rPr>
      <w:sz w:val="20"/>
      <w:szCs w:val="20"/>
    </w:rPr>
  </w:style>
  <w:style w:type="character" w:customStyle="1" w:styleId="Char0">
    <w:name w:val="Κείμενο σχολίου Char"/>
    <w:basedOn w:val="a0"/>
    <w:link w:val="a8"/>
    <w:rsid w:val="00C47059"/>
    <w:rPr>
      <w:lang w:val="tr-TR" w:eastAsia="tr-TR"/>
    </w:rPr>
  </w:style>
  <w:style w:type="paragraph" w:styleId="a9">
    <w:name w:val="annotation subject"/>
    <w:basedOn w:val="a8"/>
    <w:next w:val="a8"/>
    <w:link w:val="Char1"/>
    <w:rsid w:val="00C47059"/>
    <w:rPr>
      <w:b/>
      <w:bCs/>
    </w:rPr>
  </w:style>
  <w:style w:type="character" w:customStyle="1" w:styleId="Char1">
    <w:name w:val="Θέμα σχολίου Char"/>
    <w:basedOn w:val="Char0"/>
    <w:link w:val="a9"/>
    <w:rsid w:val="00C47059"/>
    <w:rPr>
      <w:b/>
      <w:bCs/>
      <w:lang w:val="tr-TR" w:eastAsia="tr-TR"/>
    </w:rPr>
  </w:style>
  <w:style w:type="paragraph" w:styleId="aa">
    <w:name w:val="header"/>
    <w:basedOn w:val="a"/>
    <w:link w:val="Char2"/>
    <w:uiPriority w:val="99"/>
    <w:rsid w:val="00631A78"/>
    <w:pPr>
      <w:tabs>
        <w:tab w:val="center" w:pos="4513"/>
        <w:tab w:val="right" w:pos="9026"/>
      </w:tabs>
    </w:pPr>
  </w:style>
  <w:style w:type="character" w:customStyle="1" w:styleId="Char2">
    <w:name w:val="Κεφαλίδα Char"/>
    <w:basedOn w:val="a0"/>
    <w:link w:val="aa"/>
    <w:uiPriority w:val="99"/>
    <w:rsid w:val="00631A78"/>
    <w:rPr>
      <w:sz w:val="24"/>
      <w:szCs w:val="24"/>
      <w:lang w:val="tr-TR" w:eastAsia="tr-TR"/>
    </w:rPr>
  </w:style>
  <w:style w:type="paragraph" w:styleId="2">
    <w:name w:val="Body Text Indent 2"/>
    <w:basedOn w:val="a"/>
    <w:link w:val="2Char"/>
    <w:uiPriority w:val="99"/>
    <w:unhideWhenUsed/>
    <w:rsid w:val="00631A78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el-GR" w:eastAsia="en-US"/>
    </w:rPr>
  </w:style>
  <w:style w:type="character" w:customStyle="1" w:styleId="2Char">
    <w:name w:val="Σώμα κείμενου με εσοχή 2 Char"/>
    <w:basedOn w:val="a0"/>
    <w:link w:val="2"/>
    <w:uiPriority w:val="99"/>
    <w:rsid w:val="00631A78"/>
    <w:rPr>
      <w:rFonts w:ascii="Calibri" w:eastAsia="Calibri" w:hAnsi="Calibri"/>
      <w:sz w:val="22"/>
      <w:szCs w:val="22"/>
      <w:lang w:val="el-GR" w:eastAsia="en-US"/>
    </w:rPr>
  </w:style>
  <w:style w:type="paragraph" w:customStyle="1" w:styleId="Style2">
    <w:name w:val="Style2"/>
    <w:basedOn w:val="a"/>
    <w:autoRedefine/>
    <w:rsid w:val="00631A78"/>
    <w:pPr>
      <w:spacing w:line="240" w:lineRule="atLeast"/>
      <w:jc w:val="right"/>
    </w:pPr>
    <w:rPr>
      <w:rFonts w:ascii="Arial" w:eastAsia="SimSun" w:hAnsi="Arial" w:cs="Arial"/>
      <w:iCs/>
      <w:sz w:val="20"/>
      <w:szCs w:val="20"/>
      <w:lang w:val="de-DE" w:eastAsia="en-US"/>
    </w:rPr>
  </w:style>
  <w:style w:type="paragraph" w:customStyle="1" w:styleId="Style3">
    <w:name w:val="Style3"/>
    <w:basedOn w:val="a"/>
    <w:autoRedefine/>
    <w:rsid w:val="00631A78"/>
    <w:pPr>
      <w:spacing w:line="240" w:lineRule="atLeast"/>
      <w:ind w:left="-108"/>
    </w:pPr>
    <w:rPr>
      <w:rFonts w:asciiTheme="minorHAnsi" w:eastAsia="SimSun" w:hAnsiTheme="minorHAnsi" w:cs="Arial"/>
      <w:iCs/>
      <w:sz w:val="20"/>
      <w:szCs w:val="20"/>
      <w:lang w:val="de-DE" w:eastAsia="en-US"/>
    </w:rPr>
  </w:style>
  <w:style w:type="paragraph" w:styleId="ab">
    <w:name w:val="List Paragraph"/>
    <w:basedOn w:val="a"/>
    <w:uiPriority w:val="34"/>
    <w:qFormat/>
    <w:rsid w:val="00631A78"/>
    <w:pPr>
      <w:ind w:left="720"/>
      <w:contextualSpacing/>
    </w:pPr>
  </w:style>
  <w:style w:type="paragraph" w:styleId="ac">
    <w:name w:val="Title"/>
    <w:basedOn w:val="a"/>
    <w:next w:val="a"/>
    <w:link w:val="Char3"/>
    <w:qFormat/>
    <w:rsid w:val="00C7601B"/>
    <w:pPr>
      <w:spacing w:before="720" w:after="360"/>
    </w:pPr>
    <w:rPr>
      <w:rFonts w:asciiTheme="minorHAnsi" w:eastAsiaTheme="majorEastAsia" w:hAnsiTheme="minorHAnsi" w:cstheme="majorBidi"/>
      <w:b/>
      <w:sz w:val="32"/>
      <w:szCs w:val="56"/>
    </w:rPr>
  </w:style>
  <w:style w:type="character" w:customStyle="1" w:styleId="Char3">
    <w:name w:val="Τίτλος Char"/>
    <w:basedOn w:val="a0"/>
    <w:link w:val="ac"/>
    <w:rsid w:val="00C7601B"/>
    <w:rPr>
      <w:rFonts w:asciiTheme="minorHAnsi" w:eastAsiaTheme="majorEastAsia" w:hAnsiTheme="minorHAnsi" w:cstheme="majorBidi"/>
      <w:b/>
      <w:sz w:val="32"/>
      <w:szCs w:val="56"/>
      <w:lang w:val="tr-TR" w:eastAsia="tr-TR"/>
    </w:rPr>
  </w:style>
  <w:style w:type="paragraph" w:customStyle="1" w:styleId="Titleofthepaper">
    <w:name w:val="Title of the paper"/>
    <w:basedOn w:val="ac"/>
    <w:qFormat/>
    <w:rsid w:val="00581EC1"/>
    <w:pPr>
      <w:jc w:val="both"/>
    </w:pPr>
    <w:rPr>
      <w:rFonts w:ascii="Times New Roman" w:hAnsi="Times New Roman" w:cs="Times New Roman"/>
      <w:sz w:val="36"/>
      <w:lang w:val="en-US"/>
    </w:rPr>
  </w:style>
  <w:style w:type="paragraph" w:customStyle="1" w:styleId="AUTHORSNAMES">
    <w:name w:val="AUTHORS NAMES"/>
    <w:basedOn w:val="a"/>
    <w:qFormat/>
    <w:rsid w:val="00581EC1"/>
    <w:pPr>
      <w:spacing w:before="120" w:after="120" w:line="240" w:lineRule="atLeast"/>
    </w:pPr>
    <w:rPr>
      <w:b/>
      <w:sz w:val="22"/>
      <w:szCs w:val="20"/>
    </w:rPr>
  </w:style>
  <w:style w:type="paragraph" w:customStyle="1" w:styleId="AFFILIATIONS">
    <w:name w:val="AFFILIATIONS"/>
    <w:basedOn w:val="a"/>
    <w:qFormat/>
    <w:rsid w:val="00581EC1"/>
    <w:pPr>
      <w:spacing w:line="240" w:lineRule="atLeast"/>
    </w:pPr>
    <w:rPr>
      <w:sz w:val="18"/>
      <w:szCs w:val="20"/>
      <w:vertAlign w:val="superscript"/>
      <w:lang w:val="en-US"/>
    </w:rPr>
  </w:style>
  <w:style w:type="paragraph" w:customStyle="1" w:styleId="TEXT">
    <w:name w:val="TEXT"/>
    <w:basedOn w:val="a8"/>
    <w:qFormat/>
    <w:rsid w:val="00581EC1"/>
    <w:pPr>
      <w:jc w:val="both"/>
    </w:pPr>
    <w:rPr>
      <w:lang w:val="en-US"/>
    </w:rPr>
  </w:style>
  <w:style w:type="paragraph" w:customStyle="1" w:styleId="Maintitle">
    <w:name w:val="Main title"/>
    <w:basedOn w:val="ab"/>
    <w:qFormat/>
    <w:rsid w:val="00581EC1"/>
    <w:pPr>
      <w:numPr>
        <w:numId w:val="2"/>
      </w:numPr>
      <w:spacing w:before="240" w:after="240" w:line="240" w:lineRule="atLeast"/>
      <w:ind w:left="425" w:hanging="425"/>
      <w:contextualSpacing w:val="0"/>
      <w:jc w:val="both"/>
    </w:pPr>
    <w:rPr>
      <w:b/>
      <w:sz w:val="20"/>
      <w:szCs w:val="20"/>
      <w:lang w:val="en-US"/>
    </w:rPr>
  </w:style>
  <w:style w:type="paragraph" w:customStyle="1" w:styleId="Subtitleparagraph">
    <w:name w:val="Subtitle paragraph"/>
    <w:basedOn w:val="a"/>
    <w:qFormat/>
    <w:rsid w:val="00581EC1"/>
    <w:pPr>
      <w:spacing w:before="240" w:after="240" w:line="240" w:lineRule="atLeast"/>
      <w:jc w:val="both"/>
    </w:pPr>
    <w:rPr>
      <w:i/>
      <w:sz w:val="20"/>
      <w:szCs w:val="20"/>
      <w:lang w:val="en-US"/>
    </w:rPr>
  </w:style>
  <w:style w:type="paragraph" w:customStyle="1" w:styleId="References">
    <w:name w:val="References"/>
    <w:basedOn w:val="a"/>
    <w:qFormat/>
    <w:rsid w:val="00581EC1"/>
    <w:pPr>
      <w:spacing w:after="80" w:line="240" w:lineRule="atLeast"/>
      <w:ind w:left="426" w:hanging="426"/>
      <w:jc w:val="both"/>
    </w:pPr>
    <w:rPr>
      <w:sz w:val="18"/>
      <w:szCs w:val="20"/>
      <w:lang w:val="en-US"/>
    </w:rPr>
  </w:style>
  <w:style w:type="character" w:styleId="-">
    <w:name w:val="Hyperlink"/>
    <w:basedOn w:val="a0"/>
    <w:rsid w:val="00EE0778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EE0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yentek@isc.tuc.gr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goula@uowm.gr" TargetMode="Externa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v\Downloads\CEST2021_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B84D-7DBA-43A8-8644-7FF345F24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CEST2021_Paper template</Template>
  <TotalTime>1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Adsorption of lead (II) ions onto diatomite  from aqueous solution: Mechanism, isotherm and kinetic studies</vt:lpstr>
      <vt:lpstr>Adsorption of lead (II) ions onto diatomite  from aqueous solution: Mechanism, isotherm and kinetic studies</vt:lpstr>
      <vt:lpstr>Adsorption of lead (II) ions onto diatomite  from aqueous solution: Mechanism, isotherm and kinetic studies</vt:lpstr>
    </vt:vector>
  </TitlesOfParts>
  <Company>F_s_M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Adsorption of lead (II) ions onto diatomite  from aqueous solution: Mechanism, isotherm and kinetic studies</dc:title>
  <dc:creator>Katia Drosou</dc:creator>
  <cp:lastModifiedBy>Katia Drosou</cp:lastModifiedBy>
  <cp:revision>2</cp:revision>
  <cp:lastPrinted>2016-08-29T09:20:00Z</cp:lastPrinted>
  <dcterms:created xsi:type="dcterms:W3CDTF">2021-01-05T06:35:00Z</dcterms:created>
  <dcterms:modified xsi:type="dcterms:W3CDTF">2021-01-05T06:35:00Z</dcterms:modified>
</cp:coreProperties>
</file>