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D3CD9D" w14:textId="70F3C29C" w:rsidR="00655AAA" w:rsidRDefault="00655AAA" w:rsidP="00EE610A">
      <w:pPr>
        <w:pStyle w:val="S09PRIMOPARAGRAFO"/>
        <w:spacing w:after="240"/>
        <w:ind w:firstLine="0"/>
        <w:rPr>
          <w:b/>
          <w:color w:val="000000"/>
          <w:sz w:val="48"/>
          <w:szCs w:val="20"/>
        </w:rPr>
      </w:pPr>
      <w:r w:rsidRPr="00655AAA">
        <w:rPr>
          <w:b/>
          <w:color w:val="000000"/>
          <w:sz w:val="48"/>
          <w:szCs w:val="20"/>
        </w:rPr>
        <w:t xml:space="preserve">ACTIVITY, STABILITY AND LIMIT CYCLES BEHAVIOR OF CO OXIDATION OVER </w:t>
      </w:r>
      <w:proofErr w:type="spellStart"/>
      <w:r w:rsidRPr="00655AAA">
        <w:rPr>
          <w:b/>
          <w:color w:val="000000"/>
          <w:sz w:val="48"/>
          <w:szCs w:val="20"/>
        </w:rPr>
        <w:t>Ir</w:t>
      </w:r>
      <w:proofErr w:type="spellEnd"/>
      <w:r w:rsidRPr="00655AAA">
        <w:rPr>
          <w:b/>
          <w:color w:val="000000"/>
          <w:sz w:val="48"/>
          <w:szCs w:val="20"/>
        </w:rPr>
        <w:t>/La</w:t>
      </w:r>
      <w:r w:rsidRPr="00655AAA">
        <w:rPr>
          <w:b/>
          <w:color w:val="000000"/>
          <w:sz w:val="48"/>
          <w:szCs w:val="20"/>
          <w:vertAlign w:val="subscript"/>
        </w:rPr>
        <w:t>1-x</w:t>
      </w:r>
      <w:r w:rsidRPr="00655AAA">
        <w:rPr>
          <w:b/>
          <w:color w:val="000000"/>
          <w:sz w:val="48"/>
          <w:szCs w:val="20"/>
        </w:rPr>
        <w:t>Sr</w:t>
      </w:r>
      <w:r w:rsidRPr="00655AAA">
        <w:rPr>
          <w:b/>
          <w:color w:val="000000"/>
          <w:sz w:val="48"/>
          <w:szCs w:val="20"/>
          <w:vertAlign w:val="subscript"/>
        </w:rPr>
        <w:t>x</w:t>
      </w:r>
      <w:r w:rsidRPr="00655AAA">
        <w:rPr>
          <w:b/>
          <w:color w:val="000000"/>
          <w:sz w:val="48"/>
          <w:szCs w:val="20"/>
        </w:rPr>
        <w:t>MnO</w:t>
      </w:r>
      <w:r w:rsidRPr="00655AAA">
        <w:rPr>
          <w:b/>
          <w:color w:val="000000"/>
          <w:sz w:val="48"/>
          <w:szCs w:val="20"/>
          <w:vertAlign w:val="subscript"/>
        </w:rPr>
        <w:t>3</w:t>
      </w:r>
      <w:r w:rsidR="0072055A">
        <w:rPr>
          <w:b/>
          <w:color w:val="000000"/>
          <w:sz w:val="48"/>
          <w:szCs w:val="20"/>
        </w:rPr>
        <w:t xml:space="preserve"> </w:t>
      </w:r>
      <w:r w:rsidRPr="00655AAA">
        <w:rPr>
          <w:b/>
          <w:color w:val="000000"/>
          <w:sz w:val="48"/>
          <w:szCs w:val="20"/>
        </w:rPr>
        <w:t>PEROVSKITE</w:t>
      </w:r>
      <w:r>
        <w:rPr>
          <w:b/>
          <w:color w:val="000000"/>
          <w:sz w:val="48"/>
          <w:szCs w:val="20"/>
        </w:rPr>
        <w:t xml:space="preserve"> </w:t>
      </w:r>
      <w:r w:rsidR="00064DED">
        <w:rPr>
          <w:b/>
          <w:color w:val="000000"/>
          <w:sz w:val="48"/>
          <w:szCs w:val="20"/>
        </w:rPr>
        <w:t>CATALYSTS</w:t>
      </w:r>
    </w:p>
    <w:p w14:paraId="56B3338A" w14:textId="77777777" w:rsidR="00655AAA" w:rsidRPr="00655AAA" w:rsidRDefault="00655AAA" w:rsidP="00655AAA">
      <w:pPr>
        <w:pStyle w:val="S09PARAGRAFISUCESSIVI"/>
      </w:pPr>
    </w:p>
    <w:p w14:paraId="4263C9C0" w14:textId="5CEDB4C2" w:rsidR="00A6193C" w:rsidRPr="00D43A90" w:rsidRDefault="00655AAA" w:rsidP="00EE610A">
      <w:pPr>
        <w:pStyle w:val="S09PRIMOPARAGRAFO"/>
        <w:spacing w:after="240"/>
        <w:ind w:firstLine="0"/>
        <w:rPr>
          <w:rFonts w:cs="Times"/>
          <w:color w:val="000000"/>
          <w:sz w:val="28"/>
          <w:szCs w:val="28"/>
          <w:vertAlign w:val="superscript"/>
        </w:rPr>
      </w:pPr>
      <w:r>
        <w:rPr>
          <w:sz w:val="28"/>
          <w:szCs w:val="28"/>
        </w:rPr>
        <w:t>DROSOU</w:t>
      </w:r>
      <w:r w:rsidR="00B1791F" w:rsidRPr="00B1791F">
        <w:rPr>
          <w:sz w:val="28"/>
          <w:szCs w:val="28"/>
        </w:rPr>
        <w:t xml:space="preserve"> </w:t>
      </w:r>
      <w:r>
        <w:rPr>
          <w:sz w:val="28"/>
          <w:szCs w:val="28"/>
        </w:rPr>
        <w:t>C</w:t>
      </w:r>
      <w:r w:rsidR="00B1791F" w:rsidRPr="007A3851">
        <w:rPr>
          <w:sz w:val="28"/>
          <w:szCs w:val="28"/>
        </w:rPr>
        <w:t>.</w:t>
      </w:r>
      <w:r w:rsidR="001D66AB" w:rsidRPr="001D66AB">
        <w:rPr>
          <w:sz w:val="28"/>
          <w:szCs w:val="28"/>
          <w:vertAlign w:val="superscript"/>
        </w:rPr>
        <w:t>1</w:t>
      </w:r>
      <w:r>
        <w:rPr>
          <w:sz w:val="28"/>
          <w:szCs w:val="28"/>
          <w:vertAlign w:val="superscript"/>
        </w:rPr>
        <w:t>*</w:t>
      </w:r>
      <w:r w:rsidR="007A3851" w:rsidRPr="007A3851">
        <w:rPr>
          <w:sz w:val="28"/>
          <w:szCs w:val="28"/>
        </w:rPr>
        <w:t xml:space="preserve">, </w:t>
      </w:r>
      <w:r>
        <w:rPr>
          <w:sz w:val="28"/>
          <w:szCs w:val="28"/>
        </w:rPr>
        <w:t>STRATAKIS A</w:t>
      </w:r>
      <w:r w:rsidR="00B1791F" w:rsidRPr="007A3851">
        <w:rPr>
          <w:sz w:val="28"/>
          <w:szCs w:val="28"/>
        </w:rPr>
        <w:t>.</w:t>
      </w:r>
      <w:r w:rsidR="001D66AB" w:rsidRPr="001D66AB">
        <w:rPr>
          <w:sz w:val="28"/>
          <w:szCs w:val="28"/>
          <w:vertAlign w:val="superscript"/>
        </w:rPr>
        <w:t>2</w:t>
      </w:r>
      <w:r w:rsidR="00100DF3">
        <w:rPr>
          <w:sz w:val="28"/>
          <w:szCs w:val="28"/>
        </w:rPr>
        <w:t xml:space="preserve">, </w:t>
      </w:r>
      <w:r>
        <w:rPr>
          <w:sz w:val="28"/>
          <w:szCs w:val="28"/>
        </w:rPr>
        <w:t>FOUNTOULI</w:t>
      </w:r>
      <w:r w:rsidR="00B1791F" w:rsidRPr="00B1791F">
        <w:rPr>
          <w:sz w:val="28"/>
          <w:szCs w:val="28"/>
        </w:rPr>
        <w:t xml:space="preserve"> </w:t>
      </w:r>
      <w:r>
        <w:rPr>
          <w:sz w:val="28"/>
          <w:szCs w:val="28"/>
        </w:rPr>
        <w:t>T</w:t>
      </w:r>
      <w:r w:rsidR="00B1791F" w:rsidRPr="007A3851">
        <w:rPr>
          <w:sz w:val="28"/>
          <w:szCs w:val="28"/>
        </w:rPr>
        <w:t>.</w:t>
      </w:r>
      <w:r>
        <w:rPr>
          <w:sz w:val="28"/>
          <w:szCs w:val="28"/>
        </w:rPr>
        <w:t>V.</w:t>
      </w:r>
      <w:r>
        <w:rPr>
          <w:sz w:val="28"/>
          <w:szCs w:val="28"/>
          <w:vertAlign w:val="superscript"/>
        </w:rPr>
        <w:t>1</w:t>
      </w:r>
      <w:r w:rsidR="00100DF3">
        <w:rPr>
          <w:sz w:val="28"/>
          <w:szCs w:val="28"/>
        </w:rPr>
        <w:t xml:space="preserve">, </w:t>
      </w:r>
      <w:r>
        <w:rPr>
          <w:sz w:val="28"/>
          <w:szCs w:val="28"/>
        </w:rPr>
        <w:t>NIKOLAOU</w:t>
      </w:r>
      <w:r w:rsidR="00100DF3">
        <w:rPr>
          <w:sz w:val="28"/>
          <w:szCs w:val="28"/>
          <w:vertAlign w:val="superscript"/>
        </w:rPr>
        <w:t xml:space="preserve"> </w:t>
      </w:r>
      <w:r>
        <w:rPr>
          <w:sz w:val="28"/>
          <w:szCs w:val="28"/>
        </w:rPr>
        <w:t>V</w:t>
      </w:r>
      <w:r w:rsidR="00B1791F" w:rsidRPr="007A3851">
        <w:rPr>
          <w:sz w:val="28"/>
          <w:szCs w:val="28"/>
        </w:rPr>
        <w:t>.</w:t>
      </w:r>
      <w:r>
        <w:rPr>
          <w:sz w:val="28"/>
          <w:szCs w:val="28"/>
          <w:vertAlign w:val="superscript"/>
        </w:rPr>
        <w:t>1</w:t>
      </w:r>
      <w:r>
        <w:rPr>
          <w:sz w:val="28"/>
          <w:szCs w:val="28"/>
        </w:rPr>
        <w:t>, MATSOUKA C.</w:t>
      </w:r>
      <w:r>
        <w:rPr>
          <w:sz w:val="28"/>
          <w:szCs w:val="28"/>
          <w:vertAlign w:val="superscript"/>
        </w:rPr>
        <w:t>3,4</w:t>
      </w:r>
      <w:r>
        <w:rPr>
          <w:sz w:val="28"/>
          <w:szCs w:val="28"/>
        </w:rPr>
        <w:t xml:space="preserve">, </w:t>
      </w:r>
      <w:r w:rsidR="00A955F3">
        <w:rPr>
          <w:sz w:val="28"/>
          <w:szCs w:val="28"/>
        </w:rPr>
        <w:t>NALB</w:t>
      </w:r>
      <w:r>
        <w:rPr>
          <w:sz w:val="28"/>
          <w:szCs w:val="28"/>
        </w:rPr>
        <w:t>ANDIAN L.</w:t>
      </w:r>
      <w:r>
        <w:rPr>
          <w:sz w:val="28"/>
          <w:szCs w:val="28"/>
          <w:vertAlign w:val="superscript"/>
        </w:rPr>
        <w:t>4</w:t>
      </w:r>
      <w:r>
        <w:rPr>
          <w:sz w:val="28"/>
          <w:szCs w:val="28"/>
        </w:rPr>
        <w:t>, ZASPALIS V.</w:t>
      </w:r>
      <w:r>
        <w:rPr>
          <w:sz w:val="28"/>
          <w:szCs w:val="28"/>
          <w:vertAlign w:val="superscript"/>
        </w:rPr>
        <w:t>3,4</w:t>
      </w:r>
      <w:r>
        <w:rPr>
          <w:sz w:val="28"/>
          <w:szCs w:val="28"/>
        </w:rPr>
        <w:t>, CHARISIOU N.D.</w:t>
      </w:r>
      <w:r>
        <w:rPr>
          <w:sz w:val="28"/>
          <w:szCs w:val="28"/>
          <w:vertAlign w:val="superscript"/>
        </w:rPr>
        <w:t>5</w:t>
      </w:r>
      <w:r>
        <w:rPr>
          <w:sz w:val="28"/>
          <w:szCs w:val="28"/>
        </w:rPr>
        <w:t xml:space="preserve">, GOULA M.A. </w:t>
      </w:r>
      <w:r>
        <w:rPr>
          <w:sz w:val="28"/>
          <w:szCs w:val="28"/>
          <w:vertAlign w:val="superscript"/>
        </w:rPr>
        <w:t>5*</w:t>
      </w:r>
      <w:r>
        <w:rPr>
          <w:sz w:val="28"/>
          <w:szCs w:val="28"/>
        </w:rPr>
        <w:t>, YENTEKAKIS I.V</w:t>
      </w:r>
      <w:r>
        <w:rPr>
          <w:sz w:val="28"/>
          <w:szCs w:val="28"/>
          <w:vertAlign w:val="superscript"/>
        </w:rPr>
        <w:t>1*</w:t>
      </w:r>
      <w:r>
        <w:rPr>
          <w:sz w:val="28"/>
          <w:szCs w:val="28"/>
        </w:rPr>
        <w:t>.</w:t>
      </w:r>
    </w:p>
    <w:p w14:paraId="7FDB9F19" w14:textId="77777777" w:rsidR="00655AAA" w:rsidRPr="001C4952" w:rsidRDefault="00655AAA" w:rsidP="00655AAA">
      <w:pPr>
        <w:ind w:right="0" w:firstLine="0"/>
        <w:rPr>
          <w:i/>
          <w:iCs/>
          <w:sz w:val="22"/>
          <w:szCs w:val="22"/>
          <w:lang w:val="en-GB"/>
        </w:rPr>
      </w:pPr>
      <w:r w:rsidRPr="00655AAA">
        <w:rPr>
          <w:i/>
          <w:iCs/>
          <w:sz w:val="28"/>
          <w:szCs w:val="28"/>
          <w:vertAlign w:val="superscript"/>
          <w:lang w:val="tr-TR"/>
        </w:rPr>
        <w:t xml:space="preserve">1 </w:t>
      </w:r>
      <w:r w:rsidRPr="001C4952">
        <w:rPr>
          <w:i/>
          <w:iCs/>
          <w:sz w:val="22"/>
          <w:szCs w:val="22"/>
          <w:lang w:val="en-GB"/>
        </w:rPr>
        <w:t>Laboratory of Physical Chemistry &amp; Chemical Processes, School of Environmental Engineering, Technical University of Crete, GR-73100 Chania, Greece</w:t>
      </w:r>
    </w:p>
    <w:p w14:paraId="277385F5" w14:textId="77777777" w:rsidR="00655AAA" w:rsidRPr="001C4952" w:rsidRDefault="00655AAA" w:rsidP="00655AAA">
      <w:pPr>
        <w:ind w:right="0" w:firstLine="0"/>
        <w:rPr>
          <w:i/>
          <w:iCs/>
          <w:sz w:val="22"/>
          <w:szCs w:val="22"/>
          <w:lang w:val="en-GB"/>
        </w:rPr>
      </w:pPr>
      <w:r w:rsidRPr="001C4952">
        <w:rPr>
          <w:i/>
          <w:iCs/>
          <w:sz w:val="22"/>
          <w:szCs w:val="22"/>
          <w:vertAlign w:val="superscript"/>
          <w:lang w:val="en-GB"/>
        </w:rPr>
        <w:t>2</w:t>
      </w:r>
      <w:r w:rsidRPr="001C4952">
        <w:rPr>
          <w:i/>
          <w:iCs/>
          <w:sz w:val="22"/>
          <w:szCs w:val="22"/>
          <w:vertAlign w:val="superscript"/>
          <w:lang w:val="en-US"/>
        </w:rPr>
        <w:t xml:space="preserve"> </w:t>
      </w:r>
      <w:r w:rsidRPr="001C4952">
        <w:rPr>
          <w:i/>
          <w:iCs/>
          <w:sz w:val="22"/>
          <w:szCs w:val="22"/>
          <w:lang w:val="en-GB"/>
        </w:rPr>
        <w:t xml:space="preserve">School of Mineral Resources Engineering, Technical University of Crete, GR-73100 Chania, Greece </w:t>
      </w:r>
    </w:p>
    <w:p w14:paraId="15E6D5DB" w14:textId="77777777" w:rsidR="00655AAA" w:rsidRPr="001C4952" w:rsidRDefault="00655AAA" w:rsidP="00655AAA">
      <w:pPr>
        <w:ind w:right="0" w:firstLine="0"/>
        <w:rPr>
          <w:i/>
          <w:iCs/>
          <w:sz w:val="22"/>
          <w:szCs w:val="22"/>
          <w:lang w:val="en-GB"/>
        </w:rPr>
      </w:pPr>
      <w:r w:rsidRPr="001C4952">
        <w:rPr>
          <w:i/>
          <w:iCs/>
          <w:sz w:val="22"/>
          <w:szCs w:val="22"/>
          <w:vertAlign w:val="superscript"/>
          <w:lang w:val="en-GB"/>
        </w:rPr>
        <w:t>3</w:t>
      </w:r>
      <w:r w:rsidRPr="001C4952">
        <w:rPr>
          <w:i/>
          <w:iCs/>
          <w:sz w:val="22"/>
          <w:szCs w:val="22"/>
          <w:lang w:val="en-GB"/>
        </w:rPr>
        <w:t xml:space="preserve"> Dept. of Chemical Engineering, Aristotle University of Thessaloniki, GR-54124 Thessaloniki, Greece</w:t>
      </w:r>
    </w:p>
    <w:p w14:paraId="53A701D5" w14:textId="77777777" w:rsidR="00655AAA" w:rsidRPr="001C4952" w:rsidRDefault="00655AAA" w:rsidP="00655AAA">
      <w:pPr>
        <w:ind w:right="0" w:firstLine="0"/>
        <w:rPr>
          <w:i/>
          <w:iCs/>
          <w:sz w:val="22"/>
          <w:szCs w:val="22"/>
          <w:lang w:val="en-GB"/>
        </w:rPr>
      </w:pPr>
      <w:r w:rsidRPr="001C4952">
        <w:rPr>
          <w:i/>
          <w:iCs/>
          <w:sz w:val="22"/>
          <w:szCs w:val="22"/>
          <w:vertAlign w:val="superscript"/>
          <w:lang w:val="en-GB"/>
        </w:rPr>
        <w:t>4</w:t>
      </w:r>
      <w:r w:rsidRPr="001C4952">
        <w:rPr>
          <w:i/>
          <w:iCs/>
          <w:sz w:val="22"/>
          <w:szCs w:val="22"/>
          <w:lang w:val="en-GB"/>
        </w:rPr>
        <w:t xml:space="preserve"> Chemical Processes and Energy Resources Institute, CERTH, GR-57001 </w:t>
      </w:r>
      <w:proofErr w:type="spellStart"/>
      <w:r w:rsidRPr="001C4952">
        <w:rPr>
          <w:i/>
          <w:iCs/>
          <w:sz w:val="22"/>
          <w:szCs w:val="22"/>
          <w:lang w:val="en-GB"/>
        </w:rPr>
        <w:t>Thermi</w:t>
      </w:r>
      <w:proofErr w:type="spellEnd"/>
      <w:r w:rsidRPr="001C4952">
        <w:rPr>
          <w:i/>
          <w:iCs/>
          <w:sz w:val="22"/>
          <w:szCs w:val="22"/>
          <w:lang w:val="en-GB"/>
        </w:rPr>
        <w:t xml:space="preserve">, Thessaloniki, Greece </w:t>
      </w:r>
    </w:p>
    <w:p w14:paraId="48FE28F6" w14:textId="77777777" w:rsidR="00655AAA" w:rsidRPr="001C4952" w:rsidRDefault="00655AAA" w:rsidP="00655AAA">
      <w:pPr>
        <w:ind w:right="0" w:firstLine="0"/>
        <w:rPr>
          <w:i/>
          <w:iCs/>
          <w:sz w:val="22"/>
          <w:szCs w:val="22"/>
          <w:lang w:val="en-GB"/>
        </w:rPr>
      </w:pPr>
      <w:r w:rsidRPr="001C4952">
        <w:rPr>
          <w:i/>
          <w:iCs/>
          <w:sz w:val="22"/>
          <w:szCs w:val="22"/>
          <w:vertAlign w:val="superscript"/>
          <w:lang w:val="en-GB"/>
        </w:rPr>
        <w:t>5</w:t>
      </w:r>
      <w:r w:rsidRPr="001C4952">
        <w:rPr>
          <w:i/>
          <w:iCs/>
          <w:sz w:val="22"/>
          <w:szCs w:val="22"/>
          <w:lang w:val="en-GB"/>
        </w:rPr>
        <w:t xml:space="preserve"> Dept. of Chemical Engineering, University of Western Macedonia, GR-50100, Greece</w:t>
      </w:r>
    </w:p>
    <w:p w14:paraId="59764460" w14:textId="0F1E3557" w:rsidR="00655AAA" w:rsidRPr="00655AAA" w:rsidRDefault="00655AAA" w:rsidP="00655AAA">
      <w:pPr>
        <w:pBdr>
          <w:bottom w:val="single" w:sz="12" w:space="6" w:color="auto"/>
        </w:pBdr>
        <w:spacing w:before="120"/>
        <w:ind w:right="0" w:firstLine="0"/>
        <w:rPr>
          <w:i/>
          <w:iCs/>
          <w:sz w:val="28"/>
          <w:szCs w:val="28"/>
          <w:lang w:val="en-US"/>
        </w:rPr>
      </w:pPr>
      <w:r w:rsidRPr="001C4952">
        <w:rPr>
          <w:i/>
          <w:iCs/>
          <w:sz w:val="22"/>
          <w:szCs w:val="22"/>
        </w:rPr>
        <w:t xml:space="preserve">*corresponding authors: </w:t>
      </w:r>
      <w:r w:rsidRPr="001C4952">
        <w:rPr>
          <w:i/>
          <w:iCs/>
          <w:sz w:val="22"/>
          <w:szCs w:val="22"/>
          <w:lang w:val="en-US"/>
        </w:rPr>
        <w:t>I.V. Yentekakis (</w:t>
      </w:r>
      <w:hyperlink r:id="rId8" w:history="1">
        <w:r w:rsidRPr="001C4952">
          <w:rPr>
            <w:rStyle w:val="-"/>
            <w:i/>
            <w:iCs/>
            <w:sz w:val="22"/>
            <w:szCs w:val="22"/>
            <w:lang w:val="en-US"/>
          </w:rPr>
          <w:t>yyentek@isc.tuc.gr</w:t>
        </w:r>
      </w:hyperlink>
      <w:r w:rsidR="00421887" w:rsidRPr="001C4952">
        <w:rPr>
          <w:i/>
          <w:iCs/>
          <w:sz w:val="22"/>
          <w:szCs w:val="22"/>
          <w:lang w:val="en-US"/>
        </w:rPr>
        <w:t xml:space="preserve">); C. Drosou </w:t>
      </w:r>
      <w:r w:rsidRPr="001C4952">
        <w:rPr>
          <w:i/>
          <w:iCs/>
          <w:sz w:val="22"/>
          <w:szCs w:val="22"/>
          <w:lang w:val="en-US"/>
        </w:rPr>
        <w:t>(</w:t>
      </w:r>
      <w:hyperlink r:id="rId9" w:history="1">
        <w:r w:rsidRPr="001C4952">
          <w:rPr>
            <w:rStyle w:val="-"/>
            <w:i/>
            <w:iCs/>
            <w:sz w:val="22"/>
            <w:szCs w:val="22"/>
            <w:lang w:val="en-US"/>
          </w:rPr>
          <w:t>EDrosou@isc.tuc.gr</w:t>
        </w:r>
      </w:hyperlink>
      <w:r w:rsidRPr="001C4952">
        <w:rPr>
          <w:i/>
          <w:iCs/>
          <w:sz w:val="22"/>
          <w:szCs w:val="22"/>
          <w:lang w:val="en-US"/>
        </w:rPr>
        <w:t>); M.A. Goula (</w:t>
      </w:r>
      <w:hyperlink r:id="rId10" w:history="1">
        <w:r w:rsidRPr="001C4952">
          <w:rPr>
            <w:rStyle w:val="-"/>
            <w:i/>
            <w:iCs/>
            <w:sz w:val="22"/>
            <w:szCs w:val="22"/>
            <w:lang w:val="en-US"/>
          </w:rPr>
          <w:t>mgoula@uowm.gr</w:t>
        </w:r>
      </w:hyperlink>
      <w:r w:rsidRPr="001C4952">
        <w:rPr>
          <w:i/>
          <w:iCs/>
          <w:sz w:val="22"/>
          <w:szCs w:val="22"/>
          <w:lang w:val="en-US"/>
        </w:rPr>
        <w:t>).</w:t>
      </w:r>
    </w:p>
    <w:p w14:paraId="008A86A1" w14:textId="77777777" w:rsidR="00655AAA" w:rsidRDefault="00655AAA" w:rsidP="00655AAA"/>
    <w:p w14:paraId="1FDE67C5" w14:textId="40ED4E31" w:rsidR="00BB70FD" w:rsidRPr="00655AAA" w:rsidRDefault="00BB70FD" w:rsidP="0072055A">
      <w:pPr>
        <w:ind w:firstLine="0"/>
        <w:rPr>
          <w:lang w:val="en-US"/>
        </w:rPr>
      </w:pPr>
      <w:r w:rsidRPr="00636B44">
        <w:t xml:space="preserve">SUMMARY: </w:t>
      </w:r>
      <w:r w:rsidR="00655AAA" w:rsidRPr="00525219">
        <w:rPr>
          <w:lang w:val="en-US"/>
        </w:rPr>
        <w:t xml:space="preserve">CO oxidation is one of the most extensively investigated reactions in heterogeneous catalysis, gaining attention, because </w:t>
      </w:r>
      <w:r w:rsidR="00010EBC">
        <w:rPr>
          <w:lang w:val="en-US"/>
        </w:rPr>
        <w:t>of</w:t>
      </w:r>
      <w:r w:rsidR="00655AAA" w:rsidRPr="00525219">
        <w:rPr>
          <w:lang w:val="en-US"/>
        </w:rPr>
        <w:t xml:space="preserve"> its demand in automotive and stationary processes but also its </w:t>
      </w:r>
      <w:r w:rsidR="00416DD8">
        <w:rPr>
          <w:lang w:val="en-US"/>
        </w:rPr>
        <w:t>often</w:t>
      </w:r>
      <w:r w:rsidR="00655AAA" w:rsidRPr="00525219">
        <w:rPr>
          <w:lang w:val="en-US"/>
        </w:rPr>
        <w:t xml:space="preserve"> complicate behavior including steady state multiplicity, limit cycles and </w:t>
      </w:r>
      <w:r w:rsidR="00263603">
        <w:rPr>
          <w:lang w:val="en-US"/>
        </w:rPr>
        <w:t xml:space="preserve">rate </w:t>
      </w:r>
      <w:r w:rsidR="00655AAA" w:rsidRPr="00525219">
        <w:rPr>
          <w:lang w:val="en-US"/>
        </w:rPr>
        <w:t xml:space="preserve">oscillations. </w:t>
      </w:r>
      <w:proofErr w:type="spellStart"/>
      <w:r w:rsidR="00655AAA" w:rsidRPr="00525219">
        <w:rPr>
          <w:lang w:val="en-US"/>
        </w:rPr>
        <w:t>Ir</w:t>
      </w:r>
      <w:proofErr w:type="spellEnd"/>
      <w:r w:rsidR="00655AAA" w:rsidRPr="00525219">
        <w:rPr>
          <w:lang w:val="en-US"/>
        </w:rPr>
        <w:t xml:space="preserve"> is a relatively cheap noble metal and its consideration in </w:t>
      </w:r>
      <w:r w:rsidR="0072055A">
        <w:rPr>
          <w:lang w:val="en-US"/>
        </w:rPr>
        <w:t xml:space="preserve">automotive </w:t>
      </w:r>
      <w:r w:rsidR="00655AAA" w:rsidRPr="00525219">
        <w:rPr>
          <w:lang w:val="en-US"/>
        </w:rPr>
        <w:t>emis</w:t>
      </w:r>
      <w:r w:rsidR="0072055A">
        <w:rPr>
          <w:lang w:val="en-US"/>
        </w:rPr>
        <w:t>sions control catalysis (i.e., t</w:t>
      </w:r>
      <w:r w:rsidR="00655AAA" w:rsidRPr="00525219">
        <w:rPr>
          <w:lang w:val="en-US"/>
        </w:rPr>
        <w:t>hree-way catalytic converters) and CO processing catalysis (e.g., Fischer-</w:t>
      </w:r>
      <w:proofErr w:type="spellStart"/>
      <w:r w:rsidR="00655AAA" w:rsidRPr="00525219">
        <w:rPr>
          <w:lang w:val="en-US"/>
        </w:rPr>
        <w:t>Tropsch</w:t>
      </w:r>
      <w:proofErr w:type="spellEnd"/>
      <w:r w:rsidR="00655AAA" w:rsidRPr="00525219">
        <w:rPr>
          <w:lang w:val="en-US"/>
        </w:rPr>
        <w:t xml:space="preserve"> synthesis reaction</w:t>
      </w:r>
      <w:r w:rsidR="0072055A">
        <w:rPr>
          <w:lang w:val="en-US"/>
        </w:rPr>
        <w:t>s, water gas shift reaction</w:t>
      </w:r>
      <w:r w:rsidR="00655AAA" w:rsidRPr="00525219">
        <w:rPr>
          <w:lang w:val="en-US"/>
        </w:rPr>
        <w:t xml:space="preserve">) can be renewed after the lately invented ways for </w:t>
      </w:r>
      <w:proofErr w:type="spellStart"/>
      <w:r w:rsidR="00655AAA" w:rsidRPr="00525219">
        <w:rPr>
          <w:lang w:val="en-US"/>
        </w:rPr>
        <w:t>Ir</w:t>
      </w:r>
      <w:proofErr w:type="spellEnd"/>
      <w:r w:rsidR="00655AAA" w:rsidRPr="00525219">
        <w:rPr>
          <w:lang w:val="en-US"/>
        </w:rPr>
        <w:t xml:space="preserve"> particles </w:t>
      </w:r>
      <w:r w:rsidR="00655AAA" w:rsidRPr="00101D84">
        <w:rPr>
          <w:lang w:val="en-US"/>
        </w:rPr>
        <w:t xml:space="preserve">stabilization </w:t>
      </w:r>
      <w:r w:rsidR="0072055A">
        <w:rPr>
          <w:lang w:val="en-US"/>
        </w:rPr>
        <w:t xml:space="preserve">even </w:t>
      </w:r>
      <w:r w:rsidR="00655AAA" w:rsidRPr="00101D84">
        <w:rPr>
          <w:lang w:val="en-US"/>
        </w:rPr>
        <w:t xml:space="preserve">at stressing high temperature oxidative conditions. Here we report on the CO oxidation behavior over </w:t>
      </w:r>
      <w:proofErr w:type="spellStart"/>
      <w:r w:rsidR="00655AAA" w:rsidRPr="00101D84">
        <w:rPr>
          <w:lang w:val="en-US"/>
        </w:rPr>
        <w:t>Ir</w:t>
      </w:r>
      <w:proofErr w:type="spellEnd"/>
      <w:r w:rsidR="00655AAA" w:rsidRPr="00101D84">
        <w:rPr>
          <w:lang w:val="en-US"/>
        </w:rPr>
        <w:t>/La</w:t>
      </w:r>
      <w:r w:rsidR="00655AAA" w:rsidRPr="00101D84">
        <w:rPr>
          <w:vertAlign w:val="subscript"/>
          <w:lang w:val="en-US"/>
        </w:rPr>
        <w:t>1-x</w:t>
      </w:r>
      <w:r w:rsidR="00655AAA" w:rsidRPr="00101D84">
        <w:rPr>
          <w:lang w:val="en-US"/>
        </w:rPr>
        <w:t>Sr</w:t>
      </w:r>
      <w:r w:rsidR="00655AAA" w:rsidRPr="00101D84">
        <w:rPr>
          <w:vertAlign w:val="subscript"/>
          <w:lang w:val="en-US"/>
        </w:rPr>
        <w:t>x</w:t>
      </w:r>
      <w:r w:rsidR="00655AAA" w:rsidRPr="00101D84">
        <w:rPr>
          <w:lang w:val="en-US"/>
        </w:rPr>
        <w:t>MnO</w:t>
      </w:r>
      <w:r w:rsidR="00655AAA" w:rsidRPr="00101D84">
        <w:rPr>
          <w:vertAlign w:val="subscript"/>
        </w:rPr>
        <w:t>3</w:t>
      </w:r>
      <w:r w:rsidR="00655AAA" w:rsidRPr="00101D84">
        <w:rPr>
          <w:lang w:val="en-US"/>
        </w:rPr>
        <w:t xml:space="preserve"> catalysts in </w:t>
      </w:r>
      <w:r w:rsidR="00010EBC">
        <w:rPr>
          <w:lang w:val="en-US"/>
        </w:rPr>
        <w:t>a wide range of temperatures (100-45</w:t>
      </w:r>
      <w:r w:rsidR="00655AAA" w:rsidRPr="00101D84">
        <w:rPr>
          <w:lang w:val="en-US"/>
        </w:rPr>
        <w:t>0</w:t>
      </w:r>
      <w:r w:rsidR="00655AAA" w:rsidRPr="00101D84">
        <w:rPr>
          <w:vertAlign w:val="superscript"/>
          <w:lang w:val="en-US"/>
        </w:rPr>
        <w:t>o</w:t>
      </w:r>
      <w:r w:rsidR="0072055A">
        <w:rPr>
          <w:lang w:val="en-US"/>
        </w:rPr>
        <w:t>C) and at</w:t>
      </w:r>
      <w:r w:rsidR="00655AAA" w:rsidRPr="00101D84">
        <w:rPr>
          <w:lang w:val="en-US"/>
        </w:rPr>
        <w:t xml:space="preserve"> </w:t>
      </w:r>
      <w:r w:rsidR="00010EBC">
        <w:rPr>
          <w:lang w:val="en-US"/>
        </w:rPr>
        <w:t xml:space="preserve">excess </w:t>
      </w:r>
      <w:r w:rsidR="00655AAA" w:rsidRPr="00101D84">
        <w:rPr>
          <w:lang w:val="en-US"/>
        </w:rPr>
        <w:t>oxygen conditions (</w:t>
      </w:r>
      <w:r w:rsidR="00655AAA" w:rsidRPr="00101D84">
        <w:rPr>
          <w:lang w:val="tr-TR" w:eastAsia="tr-TR"/>
        </w:rPr>
        <w:t>1</w:t>
      </w:r>
      <w:r w:rsidR="00C60201">
        <w:rPr>
          <w:lang w:val="tr-TR" w:eastAsia="tr-TR"/>
        </w:rPr>
        <w:t>%</w:t>
      </w:r>
      <w:r w:rsidR="00655AAA" w:rsidRPr="00101D84">
        <w:rPr>
          <w:lang w:val="tr-TR" w:eastAsia="tr-TR"/>
        </w:rPr>
        <w:t xml:space="preserve"> CO, 5</w:t>
      </w:r>
      <w:r w:rsidR="00C60201">
        <w:rPr>
          <w:lang w:val="tr-TR" w:eastAsia="tr-TR"/>
        </w:rPr>
        <w:t>%</w:t>
      </w:r>
      <w:r w:rsidR="00655AAA" w:rsidRPr="00101D84">
        <w:rPr>
          <w:lang w:val="tr-TR" w:eastAsia="tr-TR"/>
        </w:rPr>
        <w:t xml:space="preserve"> O</w:t>
      </w:r>
      <w:r w:rsidR="00655AAA" w:rsidRPr="00101D84">
        <w:rPr>
          <w:vertAlign w:val="subscript"/>
          <w:lang w:val="tr-TR" w:eastAsia="tr-TR"/>
        </w:rPr>
        <w:t>2</w:t>
      </w:r>
      <w:r w:rsidR="0072055A">
        <w:rPr>
          <w:lang w:val="tr-TR" w:eastAsia="tr-TR"/>
        </w:rPr>
        <w:t>, balance He)</w:t>
      </w:r>
      <w:r w:rsidR="00655AAA" w:rsidRPr="00101D84">
        <w:rPr>
          <w:lang w:val="en-US"/>
        </w:rPr>
        <w:t xml:space="preserve">. </w:t>
      </w:r>
      <w:r w:rsidR="00655AAA" w:rsidRPr="00101D84">
        <w:t>La</w:t>
      </w:r>
      <w:r w:rsidR="00655AAA" w:rsidRPr="00101D84">
        <w:rPr>
          <w:vertAlign w:val="subscript"/>
          <w:lang w:val="en-US"/>
        </w:rPr>
        <w:t>1-x</w:t>
      </w:r>
      <w:r w:rsidR="00655AAA" w:rsidRPr="00101D84">
        <w:rPr>
          <w:lang w:val="en-US"/>
        </w:rPr>
        <w:t>Sr</w:t>
      </w:r>
      <w:r w:rsidR="00655AAA" w:rsidRPr="00101D84">
        <w:rPr>
          <w:vertAlign w:val="subscript"/>
          <w:lang w:val="en-US"/>
        </w:rPr>
        <w:t>x</w:t>
      </w:r>
      <w:r w:rsidR="00655AAA" w:rsidRPr="00101D84">
        <w:rPr>
          <w:lang w:val="en-US"/>
        </w:rPr>
        <w:t>MnO</w:t>
      </w:r>
      <w:r w:rsidR="00655AAA" w:rsidRPr="00101D84">
        <w:rPr>
          <w:vertAlign w:val="subscript"/>
          <w:lang w:val="en-US"/>
        </w:rPr>
        <w:t>3</w:t>
      </w:r>
      <w:r w:rsidR="00655AAA" w:rsidRPr="00101D84">
        <w:rPr>
          <w:lang w:val="en-US"/>
        </w:rPr>
        <w:t xml:space="preserve"> (x=0</w:t>
      </w:r>
      <w:r w:rsidR="0072055A">
        <w:rPr>
          <w:lang w:val="en-US"/>
        </w:rPr>
        <w:t>, 0.3, 0.5, and 0.7) perovskite supports</w:t>
      </w:r>
      <w:r w:rsidR="00655AAA" w:rsidRPr="00101D84">
        <w:t xml:space="preserve"> were prepared by co-precipitation while the addition of Ir (2</w:t>
      </w:r>
      <w:r w:rsidR="0072055A">
        <w:t>wt</w:t>
      </w:r>
      <w:r w:rsidR="00655AAA" w:rsidRPr="00101D84">
        <w:t xml:space="preserve">% </w:t>
      </w:r>
      <w:r w:rsidR="0072055A">
        <w:t xml:space="preserve">loading) on the perovskites </w:t>
      </w:r>
      <w:r w:rsidR="00655AAA" w:rsidRPr="00101D84">
        <w:t>was employed by wet impregnation.</w:t>
      </w:r>
      <w:r w:rsidR="00655AAA" w:rsidRPr="00101D84">
        <w:rPr>
          <w:lang w:val="en-US"/>
        </w:rPr>
        <w:t xml:space="preserve"> Several pretreatment protocols were </w:t>
      </w:r>
      <w:r w:rsidR="00263603">
        <w:rPr>
          <w:lang w:val="en-US"/>
        </w:rPr>
        <w:t>carried out</w:t>
      </w:r>
      <w:r w:rsidR="00655AAA" w:rsidRPr="00101D84">
        <w:rPr>
          <w:lang w:val="en-US"/>
        </w:rPr>
        <w:t xml:space="preserve"> in order to investigate in detail the stability of the catalysts and the limit cycle reaction behavior observed with clockwise</w:t>
      </w:r>
      <w:r w:rsidR="00D553E7">
        <w:rPr>
          <w:lang w:val="en-US"/>
        </w:rPr>
        <w:t xml:space="preserve"> hysteresis versus temperature.</w:t>
      </w:r>
      <w:r w:rsidR="00655AAA" w:rsidRPr="00101D84">
        <w:rPr>
          <w:lang w:val="en-US"/>
        </w:rPr>
        <w:t xml:space="preserve"> </w:t>
      </w:r>
      <w:r w:rsidR="00D553E7">
        <w:t>T</w:t>
      </w:r>
      <w:r w:rsidR="00D553E7" w:rsidRPr="00101D84">
        <w:t>o better understand the structure</w:t>
      </w:r>
      <w:r w:rsidR="00D553E7">
        <w:t>-activity-stability correlation</w:t>
      </w:r>
      <w:r w:rsidR="00D553E7" w:rsidRPr="00101D84">
        <w:t xml:space="preserve"> of the syntesized</w:t>
      </w:r>
      <w:r w:rsidR="00263603" w:rsidRPr="00263603">
        <w:rPr>
          <w:lang w:val="en-US"/>
        </w:rPr>
        <w:t xml:space="preserve"> </w:t>
      </w:r>
      <w:proofErr w:type="spellStart"/>
      <w:r w:rsidR="00263603" w:rsidRPr="00263603">
        <w:rPr>
          <w:lang w:val="en-US"/>
        </w:rPr>
        <w:t>Ir</w:t>
      </w:r>
      <w:proofErr w:type="spellEnd"/>
      <w:r w:rsidR="00263603" w:rsidRPr="00263603">
        <w:rPr>
          <w:lang w:val="en-US"/>
        </w:rPr>
        <w:t>/La</w:t>
      </w:r>
      <w:r w:rsidR="00263603" w:rsidRPr="00263603">
        <w:rPr>
          <w:vertAlign w:val="subscript"/>
          <w:lang w:val="en-US"/>
        </w:rPr>
        <w:t>1-x</w:t>
      </w:r>
      <w:r w:rsidR="00263603" w:rsidRPr="00263603">
        <w:rPr>
          <w:lang w:val="en-US"/>
        </w:rPr>
        <w:t>Sr</w:t>
      </w:r>
      <w:r w:rsidR="00263603" w:rsidRPr="00263603">
        <w:rPr>
          <w:vertAlign w:val="subscript"/>
          <w:lang w:val="en-US"/>
        </w:rPr>
        <w:t>x</w:t>
      </w:r>
      <w:r w:rsidR="00263603" w:rsidRPr="00263603">
        <w:rPr>
          <w:lang w:val="en-US"/>
        </w:rPr>
        <w:t>MnO</w:t>
      </w:r>
      <w:r w:rsidR="00263603" w:rsidRPr="00263603">
        <w:rPr>
          <w:vertAlign w:val="subscript"/>
        </w:rPr>
        <w:t>3</w:t>
      </w:r>
      <w:r w:rsidR="00263603" w:rsidRPr="00263603">
        <w:rPr>
          <w:lang w:val="en-US"/>
        </w:rPr>
        <w:t xml:space="preserve"> </w:t>
      </w:r>
      <w:r w:rsidR="00263603" w:rsidRPr="00263603">
        <w:t>catalysts</w:t>
      </w:r>
      <w:r w:rsidR="00010EBC">
        <w:t>,</w:t>
      </w:r>
      <w:r w:rsidR="00D553E7" w:rsidRPr="00101D84">
        <w:t xml:space="preserve"> </w:t>
      </w:r>
      <w:r w:rsidR="00D553E7">
        <w:t xml:space="preserve">their textural and morphological characteristics </w:t>
      </w:r>
      <w:r w:rsidR="00655AAA" w:rsidRPr="00101D84">
        <w:t xml:space="preserve">were evaluated </w:t>
      </w:r>
      <w:r w:rsidR="00D553E7">
        <w:t>using</w:t>
      </w:r>
      <w:r w:rsidR="0032685B">
        <w:t xml:space="preserve"> various characterization techniques, while extensive catalytic activity and stability experiments were conducted on pre-reduced, pre-oxidized and aged catalysts</w:t>
      </w:r>
      <w:r w:rsidR="00655AAA" w:rsidRPr="00101D84">
        <w:rPr>
          <w:lang w:val="en-US"/>
        </w:rPr>
        <w:t>.</w:t>
      </w:r>
    </w:p>
    <w:p w14:paraId="323FB248" w14:textId="77777777" w:rsidR="00BB70FD" w:rsidRPr="00636B44" w:rsidRDefault="00BB70FD" w:rsidP="00EE610A">
      <w:pPr>
        <w:pStyle w:val="TITLE2"/>
        <w:tabs>
          <w:tab w:val="clear" w:pos="9498"/>
          <w:tab w:val="left" w:pos="2820"/>
        </w:tabs>
        <w:spacing w:before="500"/>
      </w:pPr>
      <w:r w:rsidRPr="00636B44">
        <w:t>1. INTRODUCTION</w:t>
      </w:r>
      <w:r w:rsidR="00953450" w:rsidRPr="00636B44">
        <w:t xml:space="preserve"> </w:t>
      </w:r>
    </w:p>
    <w:p w14:paraId="7AEB0E04" w14:textId="234EB337" w:rsidR="00B91D0D" w:rsidRPr="001957B5" w:rsidRDefault="00010EBC" w:rsidP="00F807BC">
      <w:pPr>
        <w:pStyle w:val="S09PARAGRAFISUCESSIVI"/>
        <w:ind w:firstLine="0"/>
      </w:pPr>
      <w:r>
        <w:t>C</w:t>
      </w:r>
      <w:r w:rsidR="00B91D0D" w:rsidRPr="001957B5">
        <w:t xml:space="preserve">atalytic oxidation of </w:t>
      </w:r>
      <w:r w:rsidR="00B91D0D" w:rsidRPr="001957B5">
        <w:rPr>
          <w:lang w:val="en-US"/>
        </w:rPr>
        <w:t>CO</w:t>
      </w:r>
      <w:r w:rsidR="00B91D0D" w:rsidRPr="001957B5">
        <w:t xml:space="preserve"> </w:t>
      </w:r>
      <w:r w:rsidR="00263603">
        <w:t>has</w:t>
      </w:r>
      <w:r w:rsidR="00D553E7" w:rsidRPr="001957B5">
        <w:t xml:space="preserve"> a wide range of applications, among others, </w:t>
      </w:r>
      <w:r w:rsidR="00B91D0D" w:rsidRPr="001957B5">
        <w:t>the control of</w:t>
      </w:r>
      <w:r w:rsidR="00F142F0" w:rsidRPr="001957B5">
        <w:t xml:space="preserve"> automotive </w:t>
      </w:r>
      <w:r w:rsidR="00D553E7" w:rsidRPr="001957B5">
        <w:t>emissions and</w:t>
      </w:r>
      <w:r w:rsidR="00B91D0D" w:rsidRPr="001957B5">
        <w:t xml:space="preserve"> the </w:t>
      </w:r>
      <w:r w:rsidR="00F142F0" w:rsidRPr="001957B5">
        <w:t>preferential CO</w:t>
      </w:r>
      <w:r w:rsidR="00B91D0D" w:rsidRPr="001957B5">
        <w:t xml:space="preserve"> oxidation</w:t>
      </w:r>
      <w:r w:rsidR="00D553E7" w:rsidRPr="001957B5">
        <w:t xml:space="preserve"> for hydrocarbons reformate purification towards H</w:t>
      </w:r>
      <w:r w:rsidR="00D553E7" w:rsidRPr="001957B5">
        <w:rPr>
          <w:vertAlign w:val="subscript"/>
        </w:rPr>
        <w:t>2</w:t>
      </w:r>
      <w:r w:rsidR="00D553E7" w:rsidRPr="001957B5">
        <w:t xml:space="preserve"> production</w:t>
      </w:r>
      <w:r w:rsidR="00DF672A" w:rsidRPr="001957B5">
        <w:t xml:space="preserve"> (</w:t>
      </w:r>
      <w:r w:rsidR="00DF672A" w:rsidRPr="001957B5">
        <w:rPr>
          <w:lang w:val="en-US"/>
        </w:rPr>
        <w:t>Yentekakis and Dong, 2020</w:t>
      </w:r>
      <w:r w:rsidR="00DF672A" w:rsidRPr="001957B5">
        <w:t>)</w:t>
      </w:r>
      <w:r w:rsidR="00B91D0D" w:rsidRPr="001957B5">
        <w:t xml:space="preserve">. </w:t>
      </w:r>
      <w:r w:rsidR="00263603">
        <w:t>When</w:t>
      </w:r>
      <w:r w:rsidR="00B91D0D" w:rsidRPr="001957B5">
        <w:t xml:space="preserve"> CO oxidation is studied as a probe reactio</w:t>
      </w:r>
      <w:r w:rsidR="002D7B29" w:rsidRPr="001957B5">
        <w:t>n, its simplicity (</w:t>
      </w:r>
      <w:r w:rsidR="00B91D0D" w:rsidRPr="001957B5">
        <w:t xml:space="preserve">it </w:t>
      </w:r>
      <w:r>
        <w:t>has</w:t>
      </w:r>
      <w:r w:rsidR="00B91D0D" w:rsidRPr="001957B5">
        <w:t xml:space="preserve"> </w:t>
      </w:r>
      <w:r w:rsidR="002D7B29" w:rsidRPr="001957B5">
        <w:t xml:space="preserve">just </w:t>
      </w:r>
      <w:r w:rsidR="00B91D0D" w:rsidRPr="001957B5">
        <w:t>a single product</w:t>
      </w:r>
      <w:r w:rsidR="002D7B29" w:rsidRPr="001957B5">
        <w:t>)</w:t>
      </w:r>
      <w:r w:rsidR="00B91D0D" w:rsidRPr="001957B5">
        <w:t xml:space="preserve"> enables an in-depth investigation of catalytic behaviour of innovative catalytic materials</w:t>
      </w:r>
      <w:r w:rsidR="004D06F3" w:rsidRPr="001957B5">
        <w:t xml:space="preserve"> (Soliman, 2019; Freund et al., 2011)</w:t>
      </w:r>
      <w:r w:rsidR="00B91D0D" w:rsidRPr="001957B5">
        <w:t>.</w:t>
      </w:r>
    </w:p>
    <w:p w14:paraId="0A0307BE" w14:textId="4D15EAFE" w:rsidR="008F34B6" w:rsidRPr="001957B5" w:rsidRDefault="008F34B6" w:rsidP="000D489A">
      <w:pPr>
        <w:pStyle w:val="S09PARAGRAFISUCESSIVI"/>
      </w:pPr>
      <w:r w:rsidRPr="001957B5">
        <w:lastRenderedPageBreak/>
        <w:t>Perovskites (ABO</w:t>
      </w:r>
      <w:r w:rsidRPr="001957B5">
        <w:rPr>
          <w:vertAlign w:val="subscript"/>
        </w:rPr>
        <w:t>3</w:t>
      </w:r>
      <w:r w:rsidRPr="001957B5">
        <w:t>)</w:t>
      </w:r>
      <w:r w:rsidR="008A63E1" w:rsidRPr="001957B5">
        <w:t xml:space="preserve">, </w:t>
      </w:r>
      <w:r w:rsidR="000D489A" w:rsidRPr="001957B5">
        <w:t xml:space="preserve">are </w:t>
      </w:r>
      <w:r w:rsidRPr="001957B5">
        <w:t xml:space="preserve">characterized by remarkable </w:t>
      </w:r>
      <w:r w:rsidRPr="001957B5">
        <w:rPr>
          <w:lang w:val="en-US"/>
        </w:rPr>
        <w:t xml:space="preserve">thermal stability, </w:t>
      </w:r>
      <w:r w:rsidR="00002819" w:rsidRPr="001957B5">
        <w:rPr>
          <w:lang w:val="en-US"/>
        </w:rPr>
        <w:t xml:space="preserve">oxygen </w:t>
      </w:r>
      <w:r w:rsidRPr="001957B5">
        <w:rPr>
          <w:lang w:val="en-US"/>
        </w:rPr>
        <w:t>ion mobility and crystalline structure</w:t>
      </w:r>
      <w:r w:rsidR="00B90438">
        <w:rPr>
          <w:lang w:val="en-US"/>
        </w:rPr>
        <w:t xml:space="preserve"> and</w:t>
      </w:r>
      <w:r w:rsidR="00360B79" w:rsidRPr="001957B5">
        <w:rPr>
          <w:lang w:val="en-US"/>
        </w:rPr>
        <w:t xml:space="preserve"> Mn-La-based perovskites are the mo</w:t>
      </w:r>
      <w:r w:rsidR="001435FB" w:rsidRPr="001957B5">
        <w:rPr>
          <w:lang w:val="en-US"/>
        </w:rPr>
        <w:t xml:space="preserve">st </w:t>
      </w:r>
      <w:r w:rsidR="00360B79" w:rsidRPr="001957B5">
        <w:rPr>
          <w:lang w:val="en-US"/>
        </w:rPr>
        <w:t>popular system</w:t>
      </w:r>
      <w:r w:rsidR="00D373CE" w:rsidRPr="001957B5">
        <w:rPr>
          <w:lang w:val="en-US"/>
        </w:rPr>
        <w:t>s</w:t>
      </w:r>
      <w:r w:rsidR="00002819" w:rsidRPr="001957B5">
        <w:rPr>
          <w:lang w:val="en-US"/>
        </w:rPr>
        <w:t xml:space="preserve"> as catalysts and/or electrocatalysts in fuel cells</w:t>
      </w:r>
      <w:r w:rsidR="00D373CE" w:rsidRPr="001957B5">
        <w:rPr>
          <w:lang w:val="en-US"/>
        </w:rPr>
        <w:t xml:space="preserve">. </w:t>
      </w:r>
      <w:r w:rsidR="00B90438">
        <w:rPr>
          <w:lang w:val="en-US"/>
        </w:rPr>
        <w:t xml:space="preserve">The </w:t>
      </w:r>
      <w:r w:rsidR="00B90438" w:rsidRPr="00B90438">
        <w:rPr>
          <w:lang w:val="en-US"/>
        </w:rPr>
        <w:t>partial substitution of La</w:t>
      </w:r>
      <w:r w:rsidR="00B90438" w:rsidRPr="00B90438">
        <w:rPr>
          <w:vertAlign w:val="superscript"/>
          <w:lang w:val="en-US"/>
        </w:rPr>
        <w:t>3+</w:t>
      </w:r>
      <w:r w:rsidR="00B90438" w:rsidRPr="00B90438">
        <w:rPr>
          <w:lang w:val="en-US"/>
        </w:rPr>
        <w:t xml:space="preserve"> by Sr</w:t>
      </w:r>
      <w:r w:rsidR="00B90438" w:rsidRPr="00B90438">
        <w:rPr>
          <w:vertAlign w:val="superscript"/>
          <w:lang w:val="en-US"/>
        </w:rPr>
        <w:t>2+</w:t>
      </w:r>
      <w:r w:rsidR="00B90438" w:rsidRPr="00B90438">
        <w:rPr>
          <w:lang w:val="en-US"/>
        </w:rPr>
        <w:t xml:space="preserve"> in the </w:t>
      </w:r>
      <w:r w:rsidR="00002819" w:rsidRPr="001957B5">
        <w:rPr>
          <w:lang w:val="en-US"/>
        </w:rPr>
        <w:t>La</w:t>
      </w:r>
      <w:r w:rsidR="00002819" w:rsidRPr="001957B5">
        <w:rPr>
          <w:vertAlign w:val="subscript"/>
          <w:lang w:val="en-US"/>
        </w:rPr>
        <w:t>1-x</w:t>
      </w:r>
      <w:r w:rsidR="00002819" w:rsidRPr="001957B5">
        <w:rPr>
          <w:lang w:val="en-US"/>
        </w:rPr>
        <w:t>Sr</w:t>
      </w:r>
      <w:r w:rsidR="00002819" w:rsidRPr="001957B5">
        <w:rPr>
          <w:vertAlign w:val="subscript"/>
          <w:lang w:val="en-US"/>
        </w:rPr>
        <w:t>x</w:t>
      </w:r>
      <w:r w:rsidR="00002819" w:rsidRPr="001957B5">
        <w:rPr>
          <w:lang w:val="en-US"/>
        </w:rPr>
        <w:t>MnO</w:t>
      </w:r>
      <w:r w:rsidR="00002819" w:rsidRPr="001957B5">
        <w:rPr>
          <w:vertAlign w:val="subscript"/>
          <w:lang w:val="en-US"/>
        </w:rPr>
        <w:t>3</w:t>
      </w:r>
      <w:r w:rsidR="00002819" w:rsidRPr="001957B5">
        <w:rPr>
          <w:lang w:val="en-US"/>
        </w:rPr>
        <w:t xml:space="preserve"> perovskite structure</w:t>
      </w:r>
      <w:r w:rsidR="00D373CE" w:rsidRPr="001957B5">
        <w:rPr>
          <w:lang w:val="en-US"/>
        </w:rPr>
        <w:t xml:space="preserve"> can enhance the redox properties of the material by increasing the oxygen vacancies and the oxidation state of the B cation</w:t>
      </w:r>
      <w:r w:rsidR="00E70D1A" w:rsidRPr="001957B5">
        <w:rPr>
          <w:lang w:val="en-US"/>
        </w:rPr>
        <w:t>, introducing significant changes in their catalytic performance and stability</w:t>
      </w:r>
      <w:r w:rsidR="00723BE3" w:rsidRPr="001957B5">
        <w:rPr>
          <w:lang w:val="en-US"/>
        </w:rPr>
        <w:t xml:space="preserve"> (Pe</w:t>
      </w:r>
      <w:r w:rsidR="00723BE3" w:rsidRPr="001957B5">
        <w:rPr>
          <w:rFonts w:cs="Times"/>
          <w:lang w:val="en-US"/>
        </w:rPr>
        <w:t>ñ</w:t>
      </w:r>
      <w:r w:rsidR="00723BE3" w:rsidRPr="001957B5">
        <w:rPr>
          <w:lang w:val="en-US"/>
        </w:rPr>
        <w:t>a and Fierro, 2001; Royer et al., 2014)</w:t>
      </w:r>
      <w:r w:rsidR="00E70D1A" w:rsidRPr="001957B5">
        <w:rPr>
          <w:lang w:val="en-US"/>
        </w:rPr>
        <w:t>.</w:t>
      </w:r>
      <w:r w:rsidR="00D373CE" w:rsidRPr="001957B5">
        <w:rPr>
          <w:lang w:val="en-US"/>
        </w:rPr>
        <w:t xml:space="preserve"> </w:t>
      </w:r>
      <w:r w:rsidR="00002819" w:rsidRPr="001957B5">
        <w:rPr>
          <w:lang w:val="en-US"/>
        </w:rPr>
        <w:t>P</w:t>
      </w:r>
      <w:r w:rsidR="00D373CE" w:rsidRPr="001957B5">
        <w:rPr>
          <w:lang w:val="en-US"/>
        </w:rPr>
        <w:t xml:space="preserve">erovskites show good catalytic activity in oxidation reactions such as CO oxidation, </w:t>
      </w:r>
      <w:r w:rsidR="00002819" w:rsidRPr="001957B5">
        <w:rPr>
          <w:lang w:val="en-US"/>
        </w:rPr>
        <w:t>but typically at elevated</w:t>
      </w:r>
      <w:r w:rsidR="00D373CE" w:rsidRPr="001957B5">
        <w:rPr>
          <w:lang w:val="en-US"/>
        </w:rPr>
        <w:t xml:space="preserve"> temperatures. However, taking advantage of their properties, perovskites could be used as </w:t>
      </w:r>
      <w:r w:rsidR="00002819" w:rsidRPr="001957B5">
        <w:rPr>
          <w:lang w:val="en-US"/>
        </w:rPr>
        <w:t xml:space="preserve">“active” </w:t>
      </w:r>
      <w:r w:rsidR="00D373CE" w:rsidRPr="001957B5">
        <w:rPr>
          <w:lang w:val="en-US"/>
        </w:rPr>
        <w:t xml:space="preserve">supports </w:t>
      </w:r>
      <w:r w:rsidR="00D225E4" w:rsidRPr="001957B5">
        <w:rPr>
          <w:lang w:val="en-US"/>
        </w:rPr>
        <w:t>in</w:t>
      </w:r>
      <w:r w:rsidR="00D373CE" w:rsidRPr="001957B5">
        <w:rPr>
          <w:lang w:val="en-US"/>
        </w:rPr>
        <w:t xml:space="preserve"> </w:t>
      </w:r>
      <w:r w:rsidR="00002819" w:rsidRPr="001957B5">
        <w:rPr>
          <w:lang w:val="en-US"/>
        </w:rPr>
        <w:t>supported noble metal catalysts</w:t>
      </w:r>
      <w:r w:rsidR="00D373CE" w:rsidRPr="001957B5">
        <w:rPr>
          <w:lang w:val="en-US"/>
        </w:rPr>
        <w:t xml:space="preserve">, </w:t>
      </w:r>
      <w:r w:rsidR="00D225E4" w:rsidRPr="001957B5">
        <w:rPr>
          <w:lang w:val="en-US"/>
        </w:rPr>
        <w:t xml:space="preserve">contributing to the </w:t>
      </w:r>
      <w:r w:rsidR="001122AC" w:rsidRPr="001957B5">
        <w:rPr>
          <w:lang w:val="en-US"/>
        </w:rPr>
        <w:t>global</w:t>
      </w:r>
      <w:r w:rsidR="00D373CE" w:rsidRPr="001957B5">
        <w:rPr>
          <w:lang w:val="en-US"/>
        </w:rPr>
        <w:t xml:space="preserve"> activity </w:t>
      </w:r>
      <w:r w:rsidR="00D225E4" w:rsidRPr="001957B5">
        <w:rPr>
          <w:lang w:val="en-US"/>
        </w:rPr>
        <w:t xml:space="preserve">and </w:t>
      </w:r>
      <w:r w:rsidR="00D373CE" w:rsidRPr="001957B5">
        <w:rPr>
          <w:lang w:val="en-US"/>
        </w:rPr>
        <w:t xml:space="preserve">stability </w:t>
      </w:r>
      <w:r w:rsidR="00D225E4" w:rsidRPr="001957B5">
        <w:rPr>
          <w:lang w:val="en-US"/>
        </w:rPr>
        <w:t>of the material</w:t>
      </w:r>
      <w:r w:rsidR="001122AC" w:rsidRPr="001957B5">
        <w:rPr>
          <w:lang w:val="en-US"/>
        </w:rPr>
        <w:t>,</w:t>
      </w:r>
      <w:r w:rsidR="00D225E4" w:rsidRPr="001957B5">
        <w:rPr>
          <w:lang w:val="en-US"/>
        </w:rPr>
        <w:t xml:space="preserve"> therefore enabling the</w:t>
      </w:r>
      <w:r w:rsidR="00D373CE" w:rsidRPr="001957B5">
        <w:rPr>
          <w:lang w:val="en-US"/>
        </w:rPr>
        <w:t xml:space="preserve"> </w:t>
      </w:r>
      <w:r w:rsidR="00D225E4" w:rsidRPr="001957B5">
        <w:rPr>
          <w:lang w:val="en-US"/>
        </w:rPr>
        <w:t>reduction of</w:t>
      </w:r>
      <w:r w:rsidR="00D373CE" w:rsidRPr="001957B5">
        <w:rPr>
          <w:lang w:val="en-US"/>
        </w:rPr>
        <w:t xml:space="preserve"> the </w:t>
      </w:r>
      <w:r w:rsidR="00D225E4" w:rsidRPr="001957B5">
        <w:rPr>
          <w:lang w:val="en-US"/>
        </w:rPr>
        <w:t xml:space="preserve">loading of the expensive noble </w:t>
      </w:r>
      <w:r w:rsidR="00D373CE" w:rsidRPr="001957B5">
        <w:rPr>
          <w:lang w:val="en-US"/>
        </w:rPr>
        <w:t xml:space="preserve">metal </w:t>
      </w:r>
      <w:r w:rsidR="001122AC" w:rsidRPr="001957B5">
        <w:rPr>
          <w:lang w:val="en-US"/>
        </w:rPr>
        <w:t xml:space="preserve">in catalyst formulations </w:t>
      </w:r>
      <w:r w:rsidR="00723BE3" w:rsidRPr="001957B5">
        <w:rPr>
          <w:lang w:val="en-US"/>
        </w:rPr>
        <w:t>(</w:t>
      </w:r>
      <w:proofErr w:type="spellStart"/>
      <w:r w:rsidR="009274B3" w:rsidRPr="001957B5">
        <w:rPr>
          <w:lang w:val="en-US"/>
        </w:rPr>
        <w:t>Yentekakis</w:t>
      </w:r>
      <w:proofErr w:type="spellEnd"/>
      <w:r w:rsidR="009274B3" w:rsidRPr="001957B5">
        <w:rPr>
          <w:lang w:val="en-US"/>
        </w:rPr>
        <w:t xml:space="preserve"> and </w:t>
      </w:r>
      <w:proofErr w:type="spellStart"/>
      <w:r w:rsidR="009274B3" w:rsidRPr="001957B5">
        <w:rPr>
          <w:lang w:val="en-US"/>
        </w:rPr>
        <w:t>Konsolakis</w:t>
      </w:r>
      <w:proofErr w:type="spellEnd"/>
      <w:r w:rsidR="009274B3" w:rsidRPr="001957B5">
        <w:rPr>
          <w:lang w:val="en-US"/>
        </w:rPr>
        <w:t>, 2016</w:t>
      </w:r>
      <w:r w:rsidR="00723BE3" w:rsidRPr="001957B5">
        <w:rPr>
          <w:lang w:val="en-US"/>
        </w:rPr>
        <w:t>)</w:t>
      </w:r>
      <w:r w:rsidR="00D373CE" w:rsidRPr="001957B5">
        <w:rPr>
          <w:lang w:val="en-US"/>
        </w:rPr>
        <w:t>.</w:t>
      </w:r>
    </w:p>
    <w:p w14:paraId="5928AF52" w14:textId="3C2506B7" w:rsidR="001435FB" w:rsidRPr="001957B5" w:rsidRDefault="006617B5" w:rsidP="00EA6E9D">
      <w:pPr>
        <w:pStyle w:val="S09PARAGRAFISUCESSIVI"/>
      </w:pPr>
      <w:r w:rsidRPr="001957B5">
        <w:rPr>
          <w:bCs/>
          <w:lang w:val="en-US"/>
        </w:rPr>
        <w:t>Iridium is a relatively inexpensive noble metal compared to other metals in its group</w:t>
      </w:r>
      <w:r w:rsidR="00B90438">
        <w:rPr>
          <w:bCs/>
          <w:lang w:val="en-US"/>
        </w:rPr>
        <w:t xml:space="preserve"> that shows</w:t>
      </w:r>
      <w:r w:rsidRPr="001957B5">
        <w:rPr>
          <w:bCs/>
          <w:lang w:val="en-US"/>
        </w:rPr>
        <w:t xml:space="preserve"> exceptional properties in CO and hydrocarbon oxidation reactions</w:t>
      </w:r>
      <w:r w:rsidR="00B90438">
        <w:rPr>
          <w:bCs/>
          <w:lang w:val="en-US"/>
        </w:rPr>
        <w:t>,</w:t>
      </w:r>
      <w:r w:rsidRPr="001957B5">
        <w:rPr>
          <w:bCs/>
          <w:lang w:val="en-US"/>
        </w:rPr>
        <w:t xml:space="preserve"> as well as in NO</w:t>
      </w:r>
      <w:r w:rsidRPr="00B90438">
        <w:rPr>
          <w:bCs/>
          <w:vertAlign w:val="subscript"/>
          <w:lang w:val="en-US"/>
        </w:rPr>
        <w:t>x</w:t>
      </w:r>
      <w:r w:rsidRPr="001957B5">
        <w:rPr>
          <w:bCs/>
          <w:lang w:val="en-US"/>
        </w:rPr>
        <w:t xml:space="preserve"> reduction reactions. The main inhibiting factor for the use of </w:t>
      </w:r>
      <w:proofErr w:type="spellStart"/>
      <w:r w:rsidRPr="001957B5">
        <w:rPr>
          <w:bCs/>
          <w:lang w:val="en-US"/>
        </w:rPr>
        <w:t>Ir</w:t>
      </w:r>
      <w:proofErr w:type="spellEnd"/>
      <w:r w:rsidRPr="001957B5">
        <w:rPr>
          <w:bCs/>
          <w:lang w:val="en-US"/>
        </w:rPr>
        <w:t xml:space="preserve"> as a catalyst in such applications is its high propensity to agglomerate under high temperature oxidizing conditions</w:t>
      </w:r>
      <w:r w:rsidR="009274B3" w:rsidRPr="001957B5">
        <w:rPr>
          <w:bCs/>
          <w:lang w:val="en-US"/>
        </w:rPr>
        <w:t xml:space="preserve"> (</w:t>
      </w:r>
      <w:r w:rsidR="00301DD7" w:rsidRPr="001957B5">
        <w:rPr>
          <w:bCs/>
          <w:lang w:val="en-US"/>
        </w:rPr>
        <w:t xml:space="preserve">Yentekakis et al., 2015; </w:t>
      </w:r>
      <w:r w:rsidR="009274B3" w:rsidRPr="001957B5">
        <w:rPr>
          <w:bCs/>
          <w:lang w:val="en-US"/>
        </w:rPr>
        <w:t>Yentekakis et al., 2016)</w:t>
      </w:r>
      <w:r w:rsidRPr="001957B5">
        <w:rPr>
          <w:bCs/>
          <w:lang w:val="en-US"/>
        </w:rPr>
        <w:t>.</w:t>
      </w:r>
      <w:r w:rsidR="00CA03A5" w:rsidRPr="001957B5">
        <w:rPr>
          <w:bCs/>
          <w:color w:val="FF0000"/>
          <w:lang w:val="en-US"/>
        </w:rPr>
        <w:t xml:space="preserve"> </w:t>
      </w:r>
      <w:r w:rsidR="00540E4A" w:rsidRPr="001957B5">
        <w:rPr>
          <w:bCs/>
          <w:lang w:val="en-US"/>
        </w:rPr>
        <w:t>However, a method of stabilizing prone to sintering nanoparticles at high tempera</w:t>
      </w:r>
      <w:r w:rsidR="00C779AF" w:rsidRPr="001957B5">
        <w:rPr>
          <w:bCs/>
          <w:lang w:val="en-US"/>
        </w:rPr>
        <w:t xml:space="preserve">ture oxidative conditions </w:t>
      </w:r>
      <w:r w:rsidR="00540E4A" w:rsidRPr="001957B5">
        <w:rPr>
          <w:bCs/>
          <w:lang w:val="en-US"/>
        </w:rPr>
        <w:t>has been recently proposed</w:t>
      </w:r>
      <w:r w:rsidR="00301DD7" w:rsidRPr="001957B5">
        <w:rPr>
          <w:bCs/>
          <w:lang w:val="en-US"/>
        </w:rPr>
        <w:t xml:space="preserve"> (</w:t>
      </w:r>
      <w:r w:rsidR="00821405" w:rsidRPr="001957B5">
        <w:rPr>
          <w:bCs/>
          <w:lang w:val="en-US"/>
        </w:rPr>
        <w:t>Yentekakis et al., 2016; Yentekakis et al., 2018; Goula et al., 2019</w:t>
      </w:r>
      <w:r w:rsidR="00301DD7" w:rsidRPr="001957B5">
        <w:rPr>
          <w:bCs/>
          <w:lang w:val="en-US"/>
        </w:rPr>
        <w:t>)</w:t>
      </w:r>
      <w:r w:rsidR="00110243">
        <w:rPr>
          <w:bCs/>
          <w:lang w:val="en-US"/>
        </w:rPr>
        <w:t xml:space="preserve">. </w:t>
      </w:r>
      <w:r w:rsidR="00332EB1" w:rsidRPr="001957B5">
        <w:rPr>
          <w:bCs/>
          <w:lang w:val="en-US"/>
        </w:rPr>
        <w:t xml:space="preserve">The method is based on the use of supports with high oxygen storage capacity / </w:t>
      </w:r>
      <w:r w:rsidR="0088680A" w:rsidRPr="001957B5">
        <w:rPr>
          <w:bCs/>
          <w:lang w:val="en-US"/>
        </w:rPr>
        <w:t>lability</w:t>
      </w:r>
      <w:r w:rsidR="00332EB1" w:rsidRPr="001957B5">
        <w:rPr>
          <w:bCs/>
          <w:lang w:val="en-US"/>
        </w:rPr>
        <w:t xml:space="preserve"> values ​​as substrates for the dispersion of nanoparticles, which endow their surfaces with an electric double layer [</w:t>
      </w:r>
      <w:proofErr w:type="spellStart"/>
      <w:r w:rsidR="00332EB1" w:rsidRPr="001957B5">
        <w:rPr>
          <w:bCs/>
          <w:lang w:val="en-US"/>
        </w:rPr>
        <w:t>O</w:t>
      </w:r>
      <w:r w:rsidR="00332EB1" w:rsidRPr="001957B5">
        <w:rPr>
          <w:bCs/>
          <w:vertAlign w:val="superscript"/>
          <w:lang w:val="en-US"/>
        </w:rPr>
        <w:t>δ</w:t>
      </w:r>
      <w:proofErr w:type="spellEnd"/>
      <w:r w:rsidR="00332EB1" w:rsidRPr="001957B5">
        <w:rPr>
          <w:bCs/>
          <w:vertAlign w:val="superscript"/>
          <w:lang w:val="en-US"/>
        </w:rPr>
        <w:t>-</w:t>
      </w:r>
      <w:r w:rsidR="00332EB1" w:rsidRPr="001957B5">
        <w:rPr>
          <w:bCs/>
          <w:lang w:val="en-US"/>
        </w:rPr>
        <w:t>, δ</w:t>
      </w:r>
      <w:r w:rsidR="00332EB1" w:rsidRPr="001957B5">
        <w:rPr>
          <w:bCs/>
          <w:vertAlign w:val="superscript"/>
          <w:lang w:val="en-US"/>
        </w:rPr>
        <w:t>+</w:t>
      </w:r>
      <w:r w:rsidR="00332EB1" w:rsidRPr="001957B5">
        <w:rPr>
          <w:bCs/>
          <w:lang w:val="en-US"/>
        </w:rPr>
        <w:t xml:space="preserve">] that </w:t>
      </w:r>
      <w:r w:rsidR="00110243">
        <w:rPr>
          <w:bCs/>
          <w:lang w:val="en-US"/>
        </w:rPr>
        <w:t>is resistant</w:t>
      </w:r>
      <w:r w:rsidR="00332EB1" w:rsidRPr="001957B5">
        <w:rPr>
          <w:bCs/>
          <w:lang w:val="en-US"/>
        </w:rPr>
        <w:t xml:space="preserve"> </w:t>
      </w:r>
      <w:r w:rsidR="0088680A" w:rsidRPr="001957B5">
        <w:rPr>
          <w:bCs/>
          <w:lang w:val="en-US"/>
        </w:rPr>
        <w:t xml:space="preserve">to particle migration and coalescence (PMC) </w:t>
      </w:r>
      <w:r w:rsidR="00332EB1" w:rsidRPr="001957B5">
        <w:rPr>
          <w:bCs/>
          <w:lang w:val="en-US"/>
        </w:rPr>
        <w:t xml:space="preserve">by </w:t>
      </w:r>
      <w:r w:rsidR="0088680A" w:rsidRPr="001957B5">
        <w:rPr>
          <w:bCs/>
          <w:lang w:val="en-US"/>
        </w:rPr>
        <w:t>the electrostatic</w:t>
      </w:r>
      <w:r w:rsidR="00332EB1" w:rsidRPr="001957B5">
        <w:rPr>
          <w:bCs/>
          <w:lang w:val="en-US"/>
        </w:rPr>
        <w:t xml:space="preserve"> repulsive</w:t>
      </w:r>
      <w:r w:rsidR="0088680A" w:rsidRPr="001957B5">
        <w:rPr>
          <w:bCs/>
          <w:lang w:val="en-US"/>
        </w:rPr>
        <w:t xml:space="preserve"> forces developed</w:t>
      </w:r>
      <w:r w:rsidR="00010EBC">
        <w:rPr>
          <w:bCs/>
          <w:lang w:val="en-US"/>
        </w:rPr>
        <w:t xml:space="preserve"> (</w:t>
      </w:r>
      <w:r w:rsidR="00821405" w:rsidRPr="001957B5">
        <w:rPr>
          <w:bCs/>
          <w:lang w:val="en-US"/>
        </w:rPr>
        <w:t>Yentekakis et al., 2016; Yentekakis et al., 2018; Goula et al., 2019</w:t>
      </w:r>
      <w:r w:rsidR="00010EBC">
        <w:rPr>
          <w:bCs/>
          <w:lang w:val="en-US"/>
        </w:rPr>
        <w:t>)</w:t>
      </w:r>
      <w:r w:rsidR="00332EB1" w:rsidRPr="001957B5">
        <w:rPr>
          <w:bCs/>
          <w:lang w:val="en-US"/>
        </w:rPr>
        <w:t xml:space="preserve">. At the same time, </w:t>
      </w:r>
      <w:r w:rsidR="0088680A" w:rsidRPr="001957B5">
        <w:rPr>
          <w:bCs/>
          <w:lang w:val="en-US"/>
        </w:rPr>
        <w:t>surface oxygen</w:t>
      </w:r>
      <w:r w:rsidR="00332EB1" w:rsidRPr="001957B5">
        <w:rPr>
          <w:bCs/>
          <w:lang w:val="en-US"/>
        </w:rPr>
        <w:t xml:space="preserve"> </w:t>
      </w:r>
      <w:r w:rsidR="0088680A" w:rsidRPr="001957B5">
        <w:rPr>
          <w:bCs/>
          <w:lang w:val="en-US"/>
        </w:rPr>
        <w:t>vacancies</w:t>
      </w:r>
      <w:r w:rsidR="00332EB1" w:rsidRPr="001957B5">
        <w:rPr>
          <w:bCs/>
          <w:lang w:val="en-US"/>
        </w:rPr>
        <w:t xml:space="preserve">, usually abundant </w:t>
      </w:r>
      <w:r w:rsidR="0088680A" w:rsidRPr="001957B5">
        <w:rPr>
          <w:bCs/>
          <w:lang w:val="en-US"/>
        </w:rPr>
        <w:t>on the surface of</w:t>
      </w:r>
      <w:r w:rsidR="00332EB1" w:rsidRPr="001957B5">
        <w:rPr>
          <w:bCs/>
          <w:lang w:val="en-US"/>
        </w:rPr>
        <w:t xml:space="preserve"> such supports, act as trapping centers that inhibit the growth of catalyst </w:t>
      </w:r>
      <w:r w:rsidR="0088680A" w:rsidRPr="001957B5">
        <w:rPr>
          <w:bCs/>
          <w:lang w:val="en-US"/>
        </w:rPr>
        <w:t>nano</w:t>
      </w:r>
      <w:r w:rsidR="00332EB1" w:rsidRPr="001957B5">
        <w:rPr>
          <w:bCs/>
          <w:lang w:val="en-US"/>
        </w:rPr>
        <w:t xml:space="preserve">particles through the Ostwald </w:t>
      </w:r>
      <w:r w:rsidR="0088680A" w:rsidRPr="001957B5">
        <w:rPr>
          <w:bCs/>
          <w:lang w:val="en-US"/>
        </w:rPr>
        <w:t>ripening</w:t>
      </w:r>
      <w:r w:rsidR="00010EBC">
        <w:rPr>
          <w:bCs/>
          <w:lang w:val="en-US"/>
        </w:rPr>
        <w:t xml:space="preserve"> mechanism (</w:t>
      </w:r>
      <w:r w:rsidR="00821405" w:rsidRPr="001957B5">
        <w:rPr>
          <w:bCs/>
          <w:lang w:val="en-US"/>
        </w:rPr>
        <w:t>Goula et al., 2019</w:t>
      </w:r>
      <w:r w:rsidR="00010EBC">
        <w:rPr>
          <w:bCs/>
          <w:lang w:val="en-US"/>
        </w:rPr>
        <w:t>)</w:t>
      </w:r>
      <w:r w:rsidR="00332EB1" w:rsidRPr="001957B5">
        <w:rPr>
          <w:bCs/>
          <w:lang w:val="en-US"/>
        </w:rPr>
        <w:t>.</w:t>
      </w:r>
      <w:r w:rsidR="0088680A" w:rsidRPr="001957B5">
        <w:rPr>
          <w:bCs/>
          <w:lang w:val="en-US"/>
        </w:rPr>
        <w:t xml:space="preserve"> Perovskites </w:t>
      </w:r>
      <w:r w:rsidR="00110243">
        <w:rPr>
          <w:bCs/>
          <w:lang w:val="en-US"/>
        </w:rPr>
        <w:t xml:space="preserve">as </w:t>
      </w:r>
      <w:r w:rsidR="00436427">
        <w:rPr>
          <w:bCs/>
          <w:lang w:val="en-US"/>
        </w:rPr>
        <w:t xml:space="preserve">catalyst particles </w:t>
      </w:r>
      <w:r w:rsidR="00110243">
        <w:rPr>
          <w:bCs/>
          <w:lang w:val="en-US"/>
        </w:rPr>
        <w:t xml:space="preserve">supports are possible candidates to induce such </w:t>
      </w:r>
      <w:r w:rsidR="00436427">
        <w:rPr>
          <w:bCs/>
          <w:lang w:val="en-US"/>
        </w:rPr>
        <w:t xml:space="preserve">particles anti-sintering characteristics. On </w:t>
      </w:r>
      <w:r w:rsidR="0088680A" w:rsidRPr="001957B5">
        <w:rPr>
          <w:bCs/>
          <w:lang w:val="en-US"/>
        </w:rPr>
        <w:t>the other</w:t>
      </w:r>
      <w:r w:rsidR="00436427">
        <w:rPr>
          <w:bCs/>
          <w:lang w:val="en-US"/>
        </w:rPr>
        <w:t xml:space="preserve"> had they considerable </w:t>
      </w:r>
      <w:r w:rsidR="0088680A" w:rsidRPr="001957B5">
        <w:rPr>
          <w:bCs/>
          <w:lang w:val="en-US"/>
        </w:rPr>
        <w:t xml:space="preserve">activity in </w:t>
      </w:r>
      <w:r w:rsidR="00436427">
        <w:rPr>
          <w:bCs/>
          <w:lang w:val="en-US"/>
        </w:rPr>
        <w:t xml:space="preserve">CO </w:t>
      </w:r>
      <w:r w:rsidR="0088680A" w:rsidRPr="001957B5">
        <w:rPr>
          <w:bCs/>
          <w:lang w:val="en-US"/>
        </w:rPr>
        <w:t xml:space="preserve">oxidation </w:t>
      </w:r>
      <w:r w:rsidR="00436427">
        <w:rPr>
          <w:bCs/>
          <w:lang w:val="en-US"/>
        </w:rPr>
        <w:t>reaction</w:t>
      </w:r>
      <w:r w:rsidR="0088680A" w:rsidRPr="001957B5">
        <w:rPr>
          <w:bCs/>
          <w:lang w:val="en-US"/>
        </w:rPr>
        <w:t>.</w:t>
      </w:r>
      <w:r w:rsidR="00FE6A82" w:rsidRPr="001957B5">
        <w:rPr>
          <w:bCs/>
          <w:color w:val="FF0000"/>
          <w:lang w:val="en-US"/>
        </w:rPr>
        <w:t xml:space="preserve">   </w:t>
      </w:r>
      <w:r w:rsidR="00C779AF" w:rsidRPr="001957B5">
        <w:rPr>
          <w:bCs/>
          <w:color w:val="FF0000"/>
          <w:lang w:val="en-US"/>
        </w:rPr>
        <w:t xml:space="preserve">       </w:t>
      </w:r>
      <w:r w:rsidR="00CA03A5" w:rsidRPr="001957B5">
        <w:rPr>
          <w:bCs/>
          <w:color w:val="FF0000"/>
          <w:lang w:val="en-US"/>
        </w:rPr>
        <w:t xml:space="preserve"> </w:t>
      </w:r>
      <w:r w:rsidR="00D225E4" w:rsidRPr="001957B5">
        <w:rPr>
          <w:bCs/>
          <w:color w:val="FF0000"/>
          <w:lang w:val="en-US"/>
        </w:rPr>
        <w:t xml:space="preserve"> </w:t>
      </w:r>
      <w:r w:rsidR="00D225E4" w:rsidRPr="001957B5">
        <w:t xml:space="preserve">  </w:t>
      </w:r>
    </w:p>
    <w:p w14:paraId="22701E34" w14:textId="4FC51945" w:rsidR="00010EBC" w:rsidRPr="005A0889" w:rsidRDefault="0068656E" w:rsidP="00B46832">
      <w:pPr>
        <w:pStyle w:val="S09PARAGRAFISUCESSIVI"/>
        <w:rPr>
          <w:lang w:val="en-US"/>
        </w:rPr>
      </w:pPr>
      <w:r w:rsidRPr="001957B5">
        <w:t xml:space="preserve">In the present study, four perovskites of </w:t>
      </w:r>
      <w:r w:rsidR="00170CD5" w:rsidRPr="001957B5">
        <w:t xml:space="preserve">the </w:t>
      </w:r>
      <w:r w:rsidRPr="001957B5">
        <w:t>general formula La</w:t>
      </w:r>
      <w:r w:rsidRPr="001957B5">
        <w:rPr>
          <w:vertAlign w:val="subscript"/>
        </w:rPr>
        <w:t>1-x</w:t>
      </w:r>
      <w:r w:rsidRPr="001957B5">
        <w:t>Sr</w:t>
      </w:r>
      <w:r w:rsidRPr="001957B5">
        <w:rPr>
          <w:vertAlign w:val="subscript"/>
        </w:rPr>
        <w:t>x</w:t>
      </w:r>
      <w:r w:rsidRPr="001957B5">
        <w:t>MnO</w:t>
      </w:r>
      <w:r w:rsidRPr="001957B5">
        <w:rPr>
          <w:vertAlign w:val="subscript"/>
        </w:rPr>
        <w:t>3</w:t>
      </w:r>
      <w:r w:rsidRPr="001957B5">
        <w:t xml:space="preserve"> (x=0, 0.3, 0.5 and 0.7) were prepared by co-precipitation and </w:t>
      </w:r>
      <w:r w:rsidRPr="001957B5">
        <w:rPr>
          <w:lang w:val="en-US"/>
        </w:rPr>
        <w:t xml:space="preserve">were used </w:t>
      </w:r>
      <w:r w:rsidR="00D373CE" w:rsidRPr="001957B5">
        <w:rPr>
          <w:lang w:val="en-US"/>
        </w:rPr>
        <w:t xml:space="preserve">as supports </w:t>
      </w:r>
      <w:r w:rsidRPr="001957B5">
        <w:rPr>
          <w:lang w:val="en-US"/>
        </w:rPr>
        <w:t xml:space="preserve">for </w:t>
      </w:r>
      <w:r w:rsidR="00AA1F69" w:rsidRPr="001957B5">
        <w:rPr>
          <w:lang w:val="en-US"/>
        </w:rPr>
        <w:t xml:space="preserve">the </w:t>
      </w:r>
      <w:r w:rsidR="00170CD5" w:rsidRPr="001957B5">
        <w:rPr>
          <w:lang w:val="en-US"/>
        </w:rPr>
        <w:t>dispersion</w:t>
      </w:r>
      <w:r w:rsidR="00AA1F69" w:rsidRPr="001957B5">
        <w:rPr>
          <w:lang w:val="en-US"/>
        </w:rPr>
        <w:t xml:space="preserve"> of </w:t>
      </w:r>
      <w:proofErr w:type="spellStart"/>
      <w:r w:rsidR="00D373CE" w:rsidRPr="001957B5">
        <w:rPr>
          <w:lang w:val="en-US"/>
        </w:rPr>
        <w:t>Ir</w:t>
      </w:r>
      <w:proofErr w:type="spellEnd"/>
      <w:r w:rsidR="00170CD5" w:rsidRPr="001957B5">
        <w:rPr>
          <w:lang w:val="en-US"/>
        </w:rPr>
        <w:t xml:space="preserve"> nanoparticles</w:t>
      </w:r>
      <w:r w:rsidR="00AA1F69" w:rsidRPr="001957B5">
        <w:rPr>
          <w:lang w:val="en-US"/>
        </w:rPr>
        <w:t xml:space="preserve">. </w:t>
      </w:r>
      <w:r w:rsidRPr="001957B5">
        <w:t xml:space="preserve"> </w:t>
      </w:r>
      <w:r w:rsidR="00C265E4" w:rsidRPr="001957B5">
        <w:rPr>
          <w:lang w:val="el-GR"/>
        </w:rPr>
        <w:t>Τ</w:t>
      </w:r>
      <w:r w:rsidR="00AA1F69" w:rsidRPr="001957B5">
        <w:t xml:space="preserve">he textural and structural properties of </w:t>
      </w:r>
      <w:proofErr w:type="spellStart"/>
      <w:r w:rsidR="00AA1F69" w:rsidRPr="001957B5">
        <w:rPr>
          <w:lang w:val="en-US"/>
        </w:rPr>
        <w:t>Ir</w:t>
      </w:r>
      <w:proofErr w:type="spellEnd"/>
      <w:r w:rsidR="00AA1F69" w:rsidRPr="001957B5">
        <w:rPr>
          <w:lang w:val="en-US"/>
        </w:rPr>
        <w:t>/La</w:t>
      </w:r>
      <w:r w:rsidR="00AA1F69" w:rsidRPr="001957B5">
        <w:rPr>
          <w:vertAlign w:val="subscript"/>
          <w:lang w:val="en-US"/>
        </w:rPr>
        <w:t>1-x</w:t>
      </w:r>
      <w:r w:rsidR="00AA1F69" w:rsidRPr="001957B5">
        <w:rPr>
          <w:lang w:val="en-US"/>
        </w:rPr>
        <w:t>Sr</w:t>
      </w:r>
      <w:r w:rsidR="00AA1F69" w:rsidRPr="001957B5">
        <w:rPr>
          <w:vertAlign w:val="subscript"/>
          <w:lang w:val="en-US"/>
        </w:rPr>
        <w:t>x</w:t>
      </w:r>
      <w:r w:rsidR="00AA1F69" w:rsidRPr="001957B5">
        <w:rPr>
          <w:lang w:val="en-US"/>
        </w:rPr>
        <w:t>MnO</w:t>
      </w:r>
      <w:r w:rsidR="00AA1F69" w:rsidRPr="001957B5">
        <w:rPr>
          <w:vertAlign w:val="subscript"/>
        </w:rPr>
        <w:t>3</w:t>
      </w:r>
      <w:r w:rsidR="00AA1F69" w:rsidRPr="001957B5">
        <w:rPr>
          <w:lang w:val="en-US"/>
        </w:rPr>
        <w:t xml:space="preserve"> catalysts</w:t>
      </w:r>
      <w:r w:rsidR="00AA1F69" w:rsidRPr="001957B5">
        <w:t xml:space="preserve"> were evaluated by various techniques, such as X-ray diffraction (XRD), BET-BJH N</w:t>
      </w:r>
      <w:r w:rsidR="00AA1F69" w:rsidRPr="001957B5">
        <w:rPr>
          <w:vertAlign w:val="subscript"/>
        </w:rPr>
        <w:t>2</w:t>
      </w:r>
      <w:r w:rsidR="00AA1F69" w:rsidRPr="001957B5">
        <w:t xml:space="preserve"> adsorption-desorption, temperature-programmed reduction by H</w:t>
      </w:r>
      <w:r w:rsidR="00AA1F69" w:rsidRPr="001957B5">
        <w:rPr>
          <w:vertAlign w:val="subscript"/>
        </w:rPr>
        <w:t>2</w:t>
      </w:r>
      <w:r w:rsidR="00AA1F69" w:rsidRPr="001957B5">
        <w:t xml:space="preserve"> (H</w:t>
      </w:r>
      <w:r w:rsidR="00AA1F69" w:rsidRPr="001957B5">
        <w:rPr>
          <w:vertAlign w:val="subscript"/>
        </w:rPr>
        <w:t>2</w:t>
      </w:r>
      <w:r w:rsidR="00AA1F69" w:rsidRPr="001957B5">
        <w:t>-TPR), and isothermal H</w:t>
      </w:r>
      <w:r w:rsidR="00AA1F69" w:rsidRPr="001957B5">
        <w:rPr>
          <w:vertAlign w:val="subscript"/>
        </w:rPr>
        <w:t>2</w:t>
      </w:r>
      <w:r w:rsidR="00AA1F69" w:rsidRPr="001957B5">
        <w:t xml:space="preserve"> chemisorption (H</w:t>
      </w:r>
      <w:r w:rsidR="00AA1F69" w:rsidRPr="001957B5">
        <w:rPr>
          <w:vertAlign w:val="subscript"/>
        </w:rPr>
        <w:t>2</w:t>
      </w:r>
      <w:r w:rsidR="00AA1F69" w:rsidRPr="001957B5">
        <w:t>-Chem) in order to better understand structure</w:t>
      </w:r>
      <w:r w:rsidR="00170CD5" w:rsidRPr="001957B5">
        <w:t>-activity-stability correlations</w:t>
      </w:r>
      <w:r w:rsidR="00AA1F69" w:rsidRPr="001957B5">
        <w:rPr>
          <w:lang w:val="en-US"/>
        </w:rPr>
        <w:t>.</w:t>
      </w:r>
      <w:r w:rsidR="00B91D0D" w:rsidRPr="001957B5">
        <w:rPr>
          <w:lang w:val="en-US"/>
        </w:rPr>
        <w:t xml:space="preserve"> </w:t>
      </w:r>
      <w:r w:rsidR="00170CD5" w:rsidRPr="001957B5">
        <w:rPr>
          <w:lang w:val="en-US"/>
        </w:rPr>
        <w:t xml:space="preserve">The </w:t>
      </w:r>
      <w:r w:rsidR="00B91D0D" w:rsidRPr="001957B5">
        <w:rPr>
          <w:lang w:val="en-US"/>
        </w:rPr>
        <w:t xml:space="preserve">catalytic activity </w:t>
      </w:r>
      <w:r w:rsidR="00170CD5" w:rsidRPr="001957B5">
        <w:rPr>
          <w:lang w:val="en-US"/>
        </w:rPr>
        <w:t xml:space="preserve">of the materials </w:t>
      </w:r>
      <w:r w:rsidR="00B91D0D" w:rsidRPr="001957B5">
        <w:rPr>
          <w:lang w:val="en-US"/>
        </w:rPr>
        <w:t xml:space="preserve">was </w:t>
      </w:r>
      <w:r w:rsidR="00170CD5" w:rsidRPr="001957B5">
        <w:rPr>
          <w:lang w:val="en-US"/>
        </w:rPr>
        <w:t>evaluated</w:t>
      </w:r>
      <w:r w:rsidR="00B91D0D" w:rsidRPr="001957B5">
        <w:rPr>
          <w:lang w:val="en-US"/>
        </w:rPr>
        <w:t xml:space="preserve"> </w:t>
      </w:r>
      <w:r w:rsidR="00170CD5" w:rsidRPr="001957B5">
        <w:rPr>
          <w:lang w:val="en-US"/>
        </w:rPr>
        <w:t xml:space="preserve">comparatively on both pre-reduced and pre-oxidized catalysts and </w:t>
      </w:r>
      <w:r w:rsidR="000367A3" w:rsidRPr="001957B5">
        <w:rPr>
          <w:lang w:val="en-US"/>
        </w:rPr>
        <w:t xml:space="preserve">on </w:t>
      </w:r>
      <w:r w:rsidR="00170CD5" w:rsidRPr="001957B5">
        <w:rPr>
          <w:lang w:val="en-US"/>
        </w:rPr>
        <w:t xml:space="preserve">catalysts </w:t>
      </w:r>
      <w:r w:rsidR="000367A3" w:rsidRPr="001957B5">
        <w:rPr>
          <w:lang w:val="en-US"/>
        </w:rPr>
        <w:t xml:space="preserve">which have experienced </w:t>
      </w:r>
      <w:r w:rsidR="00170CD5" w:rsidRPr="001957B5">
        <w:rPr>
          <w:lang w:val="en-US"/>
        </w:rPr>
        <w:t xml:space="preserve">several sequential </w:t>
      </w:r>
      <w:r w:rsidR="00D373CE" w:rsidRPr="001957B5">
        <w:rPr>
          <w:lang w:val="en-US"/>
        </w:rPr>
        <w:t xml:space="preserve">aging </w:t>
      </w:r>
      <w:r w:rsidR="00170CD5" w:rsidRPr="001957B5">
        <w:rPr>
          <w:lang w:val="en-US"/>
        </w:rPr>
        <w:t xml:space="preserve">steps at high temperature oxidative </w:t>
      </w:r>
      <w:r w:rsidR="000367A3" w:rsidRPr="001957B5">
        <w:rPr>
          <w:lang w:val="en-US"/>
        </w:rPr>
        <w:t>environments</w:t>
      </w:r>
      <w:r w:rsidR="00D373CE" w:rsidRPr="001957B5">
        <w:rPr>
          <w:lang w:val="en-US"/>
        </w:rPr>
        <w:t>.</w:t>
      </w:r>
    </w:p>
    <w:p w14:paraId="3B8980CA" w14:textId="6F04E41D" w:rsidR="00BB70FD" w:rsidRPr="00636B44" w:rsidRDefault="00BB70FD" w:rsidP="00EE610A">
      <w:pPr>
        <w:pStyle w:val="TITLE2"/>
        <w:tabs>
          <w:tab w:val="clear" w:pos="9498"/>
          <w:tab w:val="left" w:pos="2820"/>
        </w:tabs>
        <w:spacing w:before="500"/>
      </w:pPr>
      <w:r w:rsidRPr="00636B44">
        <w:t xml:space="preserve">2. </w:t>
      </w:r>
      <w:r w:rsidR="005F3DCE">
        <w:t>EXPERIMENTAL</w:t>
      </w:r>
    </w:p>
    <w:p w14:paraId="685B90B7" w14:textId="3FC69C65" w:rsidR="005F3DCE" w:rsidRDefault="00165C8D" w:rsidP="00EE610A">
      <w:pPr>
        <w:pStyle w:val="S09PARAGRAFISUCESSIVI"/>
        <w:spacing w:after="180"/>
        <w:ind w:firstLine="0"/>
        <w:rPr>
          <w:b/>
          <w:color w:val="000000"/>
        </w:rPr>
      </w:pPr>
      <w:r>
        <w:rPr>
          <w:b/>
          <w:color w:val="000000"/>
        </w:rPr>
        <w:t>2.1</w:t>
      </w:r>
      <w:r w:rsidR="00657570">
        <w:rPr>
          <w:b/>
          <w:color w:val="000000"/>
        </w:rPr>
        <w:t>.</w:t>
      </w:r>
      <w:r w:rsidR="004928BA">
        <w:rPr>
          <w:b/>
          <w:color w:val="000000"/>
        </w:rPr>
        <w:t xml:space="preserve"> </w:t>
      </w:r>
      <w:proofErr w:type="spellStart"/>
      <w:r w:rsidR="004928BA">
        <w:rPr>
          <w:b/>
          <w:color w:val="000000"/>
        </w:rPr>
        <w:t>Ir</w:t>
      </w:r>
      <w:proofErr w:type="spellEnd"/>
      <w:r w:rsidR="004928BA">
        <w:rPr>
          <w:b/>
          <w:color w:val="000000"/>
        </w:rPr>
        <w:t>/</w:t>
      </w:r>
      <w:r w:rsidR="005F3DCE">
        <w:rPr>
          <w:b/>
          <w:color w:val="000000"/>
        </w:rPr>
        <w:t>LSM catalysts synthesis</w:t>
      </w:r>
    </w:p>
    <w:p w14:paraId="38F7F33B" w14:textId="0F49A0FD" w:rsidR="003B0A0B" w:rsidRPr="003B0A0B" w:rsidRDefault="00010EBC" w:rsidP="00F807BC">
      <w:pPr>
        <w:pStyle w:val="S09PARAGRAFISUCESSIVI"/>
        <w:ind w:firstLine="0"/>
        <w:rPr>
          <w:lang w:val="en-US"/>
        </w:rPr>
      </w:pPr>
      <w:r>
        <w:t>P</w:t>
      </w:r>
      <w:r w:rsidR="0066163E">
        <w:t xml:space="preserve">erovskite supports </w:t>
      </w:r>
      <w:r w:rsidR="006F2552" w:rsidRPr="006F2552">
        <w:t xml:space="preserve">with </w:t>
      </w:r>
      <w:r w:rsidR="004928BA">
        <w:t xml:space="preserve">the </w:t>
      </w:r>
      <w:r w:rsidR="006F2552" w:rsidRPr="006F2552">
        <w:t xml:space="preserve">general chemical </w:t>
      </w:r>
      <w:r w:rsidR="006F2552">
        <w:rPr>
          <w:lang w:val="en-US"/>
        </w:rPr>
        <w:t xml:space="preserve">formula </w:t>
      </w:r>
      <w:r w:rsidR="006F2552" w:rsidRPr="006F2552">
        <w:rPr>
          <w:lang w:val="en-US"/>
        </w:rPr>
        <w:t>L</w:t>
      </w:r>
      <w:r w:rsidR="006F2552">
        <w:rPr>
          <w:lang w:val="en-US"/>
        </w:rPr>
        <w:t>a</w:t>
      </w:r>
      <w:r w:rsidR="006F2552">
        <w:rPr>
          <w:vertAlign w:val="subscript"/>
          <w:lang w:val="en-US"/>
        </w:rPr>
        <w:t>1-x</w:t>
      </w:r>
      <w:r w:rsidR="006F2552">
        <w:rPr>
          <w:lang w:val="en-US"/>
        </w:rPr>
        <w:t>Sr</w:t>
      </w:r>
      <w:r w:rsidR="006F2552">
        <w:rPr>
          <w:vertAlign w:val="subscript"/>
          <w:lang w:val="en-US"/>
        </w:rPr>
        <w:t>x</w:t>
      </w:r>
      <w:r w:rsidR="006F2552">
        <w:rPr>
          <w:lang w:val="en-US"/>
        </w:rPr>
        <w:t>MnO</w:t>
      </w:r>
      <w:r w:rsidR="006F2552">
        <w:rPr>
          <w:vertAlign w:val="subscript"/>
          <w:lang w:val="en-US"/>
        </w:rPr>
        <w:t>3</w:t>
      </w:r>
      <w:r w:rsidR="006F2552">
        <w:rPr>
          <w:lang w:val="en-US"/>
        </w:rPr>
        <w:t xml:space="preserve"> (x=</w:t>
      </w:r>
      <w:r w:rsidR="004928BA">
        <w:rPr>
          <w:lang w:val="en-US"/>
        </w:rPr>
        <w:t xml:space="preserve">0, </w:t>
      </w:r>
      <w:r w:rsidR="006F2552">
        <w:rPr>
          <w:lang w:val="en-US"/>
        </w:rPr>
        <w:t xml:space="preserve">0.3, 0.5 and 0.7) </w:t>
      </w:r>
      <w:r w:rsidR="00436427">
        <w:t>were</w:t>
      </w:r>
      <w:r w:rsidR="006F2552" w:rsidRPr="006F2552">
        <w:t xml:space="preserve"> synthesized by co-precipitation. </w:t>
      </w:r>
      <w:r w:rsidR="004928BA" w:rsidRPr="004928BA">
        <w:rPr>
          <w:lang w:val="it-IT"/>
        </w:rPr>
        <w:t>La(NO</w:t>
      </w:r>
      <w:r w:rsidR="004928BA" w:rsidRPr="004928BA">
        <w:rPr>
          <w:vertAlign w:val="subscript"/>
          <w:lang w:val="it-IT"/>
        </w:rPr>
        <w:t>3</w:t>
      </w:r>
      <w:r w:rsidR="004928BA" w:rsidRPr="004928BA">
        <w:rPr>
          <w:lang w:val="it-IT"/>
        </w:rPr>
        <w:t>)</w:t>
      </w:r>
      <w:r w:rsidR="004928BA" w:rsidRPr="004928BA">
        <w:rPr>
          <w:vertAlign w:val="subscript"/>
          <w:lang w:val="it-IT"/>
        </w:rPr>
        <w:t>3</w:t>
      </w:r>
      <w:r w:rsidR="004928BA" w:rsidRPr="004928BA">
        <w:rPr>
          <w:lang w:val="it-IT"/>
        </w:rPr>
        <w:t>∙6H</w:t>
      </w:r>
      <w:r w:rsidR="004928BA" w:rsidRPr="004928BA">
        <w:rPr>
          <w:vertAlign w:val="subscript"/>
          <w:lang w:val="it-IT"/>
        </w:rPr>
        <w:t>2</w:t>
      </w:r>
      <w:r w:rsidR="004928BA" w:rsidRPr="004928BA">
        <w:rPr>
          <w:lang w:val="it-IT"/>
        </w:rPr>
        <w:t>O</w:t>
      </w:r>
      <w:r w:rsidR="004928BA" w:rsidRPr="004928BA">
        <w:rPr>
          <w:vertAlign w:val="subscript"/>
          <w:lang w:val="it-IT"/>
        </w:rPr>
        <w:t xml:space="preserve"> </w:t>
      </w:r>
      <w:r w:rsidR="004928BA" w:rsidRPr="004928BA">
        <w:rPr>
          <w:lang w:val="it-IT"/>
        </w:rPr>
        <w:t>(Sigma</w:t>
      </w:r>
      <w:r w:rsidR="004928BA" w:rsidRPr="004928BA">
        <w:rPr>
          <w:vertAlign w:val="superscript"/>
          <w:lang w:val="it-IT"/>
        </w:rPr>
        <w:t xml:space="preserve"> </w:t>
      </w:r>
      <w:r w:rsidR="004928BA" w:rsidRPr="004928BA">
        <w:rPr>
          <w:lang w:val="it-IT"/>
        </w:rPr>
        <w:t>Aldrich), Sr(NO</w:t>
      </w:r>
      <w:r w:rsidR="004928BA" w:rsidRPr="004928BA">
        <w:rPr>
          <w:vertAlign w:val="subscript"/>
          <w:lang w:val="it-IT"/>
        </w:rPr>
        <w:t>3</w:t>
      </w:r>
      <w:r w:rsidR="004928BA" w:rsidRPr="004928BA">
        <w:rPr>
          <w:lang w:val="it-IT"/>
        </w:rPr>
        <w:t>)</w:t>
      </w:r>
      <w:r w:rsidR="004928BA" w:rsidRPr="004928BA">
        <w:rPr>
          <w:vertAlign w:val="subscript"/>
          <w:lang w:val="it-IT"/>
        </w:rPr>
        <w:t>2</w:t>
      </w:r>
      <w:r w:rsidR="004928BA" w:rsidRPr="004928BA">
        <w:rPr>
          <w:lang w:val="it-IT"/>
        </w:rPr>
        <w:t xml:space="preserve"> (Sigma Aldrich) and Mn(NO</w:t>
      </w:r>
      <w:r w:rsidR="004928BA" w:rsidRPr="004928BA">
        <w:rPr>
          <w:vertAlign w:val="subscript"/>
          <w:lang w:val="it-IT"/>
        </w:rPr>
        <w:t>3</w:t>
      </w:r>
      <w:r w:rsidR="004928BA" w:rsidRPr="004928BA">
        <w:rPr>
          <w:lang w:val="it-IT"/>
        </w:rPr>
        <w:t>)</w:t>
      </w:r>
      <w:r w:rsidR="004928BA" w:rsidRPr="004928BA">
        <w:rPr>
          <w:vertAlign w:val="subscript"/>
          <w:lang w:val="it-IT"/>
        </w:rPr>
        <w:t>2</w:t>
      </w:r>
      <w:r w:rsidR="004928BA" w:rsidRPr="004928BA">
        <w:rPr>
          <w:lang w:val="it-IT"/>
        </w:rPr>
        <w:t>∙4H</w:t>
      </w:r>
      <w:r w:rsidR="004928BA" w:rsidRPr="004928BA">
        <w:rPr>
          <w:vertAlign w:val="subscript"/>
          <w:lang w:val="it-IT"/>
        </w:rPr>
        <w:t>2</w:t>
      </w:r>
      <w:r w:rsidR="004928BA">
        <w:rPr>
          <w:lang w:val="it-IT"/>
        </w:rPr>
        <w:t xml:space="preserve">O (Merck) </w:t>
      </w:r>
      <w:r w:rsidR="004928BA">
        <w:t>nitrate</w:t>
      </w:r>
      <w:r w:rsidR="006F2552">
        <w:t xml:space="preserve"> salts</w:t>
      </w:r>
      <w:r w:rsidR="006F2552" w:rsidRPr="006F2552">
        <w:t xml:space="preserve"> were used as precursors</w:t>
      </w:r>
      <w:r w:rsidR="006F2552">
        <w:t>,</w:t>
      </w:r>
      <w:r w:rsidR="006F2552" w:rsidRPr="006F2552">
        <w:t xml:space="preserve"> </w:t>
      </w:r>
      <w:r w:rsidR="007A1AE5">
        <w:t>while NaOH</w:t>
      </w:r>
      <w:r w:rsidR="007923EC">
        <w:t xml:space="preserve"> (Sigma Aldrich)</w:t>
      </w:r>
      <w:r w:rsidR="007A1AE5">
        <w:t xml:space="preserve"> </w:t>
      </w:r>
      <w:r w:rsidR="004928BA">
        <w:t>was</w:t>
      </w:r>
      <w:r w:rsidR="007A1AE5">
        <w:t xml:space="preserve"> used as a precipitant agent. </w:t>
      </w:r>
      <w:r w:rsidR="0052532E" w:rsidRPr="0052532E">
        <w:t>Initially, st</w:t>
      </w:r>
      <w:r w:rsidR="004928BA">
        <w:t>oichiometric amounts of nitrate</w:t>
      </w:r>
      <w:r w:rsidR="0052532E">
        <w:t xml:space="preserve"> salts</w:t>
      </w:r>
      <w:r w:rsidR="0052532E" w:rsidRPr="0052532E">
        <w:t xml:space="preserve"> </w:t>
      </w:r>
      <w:r w:rsidR="00436427">
        <w:t>were</w:t>
      </w:r>
      <w:r w:rsidR="0052532E" w:rsidRPr="0052532E">
        <w:t xml:space="preserve"> dissolved in double deionized water under continuous magnetic stirring and then precipitated </w:t>
      </w:r>
      <w:r w:rsidR="008A4E8B">
        <w:t>with</w:t>
      </w:r>
      <w:r w:rsidR="0052532E" w:rsidRPr="0052532E">
        <w:t xml:space="preserve"> </w:t>
      </w:r>
      <w:r w:rsidR="008A4E8B">
        <w:t xml:space="preserve">an </w:t>
      </w:r>
      <w:r w:rsidR="0052532E" w:rsidRPr="0052532E">
        <w:t xml:space="preserve">aqueous NaOH solution </w:t>
      </w:r>
      <w:r w:rsidR="008A4E8B">
        <w:t>(2</w:t>
      </w:r>
      <w:r w:rsidR="0052532E" w:rsidRPr="0052532E">
        <w:t>M</w:t>
      </w:r>
      <w:r w:rsidR="008A4E8B">
        <w:t>)</w:t>
      </w:r>
      <w:r w:rsidR="0052532E" w:rsidRPr="0052532E">
        <w:t>. Then</w:t>
      </w:r>
      <w:r w:rsidR="008A4E8B">
        <w:t>,</w:t>
      </w:r>
      <w:r w:rsidR="0052532E" w:rsidRPr="0052532E">
        <w:t xml:space="preserve"> the solution</w:t>
      </w:r>
      <w:r w:rsidR="008A4E8B">
        <w:t xml:space="preserve"> </w:t>
      </w:r>
      <w:r w:rsidR="00436427">
        <w:t>was</w:t>
      </w:r>
      <w:r w:rsidR="0052532E" w:rsidRPr="0052532E">
        <w:t xml:space="preserve"> heated </w:t>
      </w:r>
      <w:r w:rsidR="008A4E8B">
        <w:t>at</w:t>
      </w:r>
      <w:r w:rsidR="0052532E" w:rsidRPr="0052532E">
        <w:t xml:space="preserve"> 90°</w:t>
      </w:r>
      <w:r w:rsidR="008A4E8B">
        <w:t xml:space="preserve"> </w:t>
      </w:r>
      <w:r w:rsidR="0052532E" w:rsidRPr="0052532E">
        <w:t>C to precipitate</w:t>
      </w:r>
      <w:r w:rsidR="008A4E8B">
        <w:t>,</w:t>
      </w:r>
      <w:r w:rsidR="008A4E8B" w:rsidRPr="008A4E8B">
        <w:t xml:space="preserve"> </w:t>
      </w:r>
      <w:r w:rsidR="008A4E8B" w:rsidRPr="0052532E">
        <w:t>under magnetic stirring</w:t>
      </w:r>
      <w:r w:rsidR="0052532E" w:rsidRPr="0052532E">
        <w:t>.</w:t>
      </w:r>
      <w:r w:rsidR="008A4E8B">
        <w:t xml:space="preserve"> </w:t>
      </w:r>
      <w:r w:rsidR="008A4E8B" w:rsidRPr="0052532E">
        <w:t xml:space="preserve">The resulting precipitate </w:t>
      </w:r>
      <w:r w:rsidR="00436427">
        <w:t>was</w:t>
      </w:r>
      <w:r w:rsidR="008A4E8B">
        <w:t xml:space="preserve"> </w:t>
      </w:r>
      <w:r w:rsidR="0052532E" w:rsidRPr="0052532E">
        <w:t xml:space="preserve">filtered </w:t>
      </w:r>
      <w:r w:rsidR="008A4E8B">
        <w:t xml:space="preserve">off, </w:t>
      </w:r>
      <w:r w:rsidR="0052532E" w:rsidRPr="0052532E">
        <w:t>dried</w:t>
      </w:r>
      <w:r w:rsidR="008A4E8B">
        <w:t xml:space="preserve"> in air</w:t>
      </w:r>
      <w:r w:rsidR="0052532E" w:rsidRPr="0052532E">
        <w:t xml:space="preserve"> and pulverized</w:t>
      </w:r>
      <w:r w:rsidR="008A4E8B">
        <w:t>.</w:t>
      </w:r>
      <w:r w:rsidR="0052532E" w:rsidRPr="0052532E">
        <w:t xml:space="preserve"> </w:t>
      </w:r>
      <w:r w:rsidR="008A4E8B">
        <w:t>Finally, it</w:t>
      </w:r>
      <w:r w:rsidR="0052532E" w:rsidRPr="0052532E">
        <w:t xml:space="preserve"> </w:t>
      </w:r>
      <w:r w:rsidR="00436427">
        <w:t>was</w:t>
      </w:r>
      <w:r w:rsidR="008A4E8B">
        <w:t xml:space="preserve"> calcinated</w:t>
      </w:r>
      <w:r w:rsidR="0052532E" w:rsidRPr="0052532E">
        <w:t xml:space="preserve"> at 1000° C to obtain the desired perovskite phase</w:t>
      </w:r>
      <w:r w:rsidR="008A4E8B">
        <w:t xml:space="preserve"> (</w:t>
      </w:r>
      <w:proofErr w:type="spellStart"/>
      <w:r w:rsidR="0063463B">
        <w:t>Matsouka</w:t>
      </w:r>
      <w:proofErr w:type="spellEnd"/>
      <w:r w:rsidR="0063463B">
        <w:t xml:space="preserve"> et al., 2018</w:t>
      </w:r>
      <w:r w:rsidR="004928BA">
        <w:t xml:space="preserve">; </w:t>
      </w:r>
      <w:proofErr w:type="spellStart"/>
      <w:r w:rsidR="008A4E8B" w:rsidRPr="005A0889">
        <w:t>Haron</w:t>
      </w:r>
      <w:proofErr w:type="spellEnd"/>
      <w:r w:rsidR="008A4E8B" w:rsidRPr="005A0889">
        <w:t xml:space="preserve"> et al., 2014)</w:t>
      </w:r>
      <w:r w:rsidR="0052532E" w:rsidRPr="0052532E">
        <w:t>.</w:t>
      </w:r>
      <w:r w:rsidR="008A4E8B" w:rsidRPr="008A4E8B">
        <w:rPr>
          <w:lang w:val="en-US"/>
        </w:rPr>
        <w:t xml:space="preserve"> </w:t>
      </w:r>
      <w:r w:rsidR="008A4E8B">
        <w:t xml:space="preserve">The </w:t>
      </w:r>
      <w:r w:rsidR="008A4E8B">
        <w:lastRenderedPageBreak/>
        <w:t>synthesized perovskites with the general formula La</w:t>
      </w:r>
      <w:r w:rsidR="008A4E8B">
        <w:rPr>
          <w:vertAlign w:val="subscript"/>
        </w:rPr>
        <w:t>1-x</w:t>
      </w:r>
      <w:r w:rsidR="008A4E8B">
        <w:t>Sr</w:t>
      </w:r>
      <w:r w:rsidR="008A4E8B">
        <w:rPr>
          <w:vertAlign w:val="subscript"/>
        </w:rPr>
        <w:t>x</w:t>
      </w:r>
      <w:r w:rsidR="008A4E8B">
        <w:t>MnO</w:t>
      </w:r>
      <w:r w:rsidR="008A4E8B">
        <w:rPr>
          <w:vertAlign w:val="subscript"/>
        </w:rPr>
        <w:t>3</w:t>
      </w:r>
      <w:r w:rsidR="008A4E8B" w:rsidRPr="008A4E8B">
        <w:rPr>
          <w:lang w:val="en-US"/>
        </w:rPr>
        <w:t xml:space="preserve"> will hereinafter be referred to as </w:t>
      </w:r>
      <w:proofErr w:type="spellStart"/>
      <w:r w:rsidR="008A4E8B" w:rsidRPr="008A4E8B">
        <w:rPr>
          <w:lang w:val="en-US"/>
        </w:rPr>
        <w:t>LSM</w:t>
      </w:r>
      <w:r w:rsidR="00D475ED">
        <w:rPr>
          <w:lang w:val="en-US"/>
        </w:rPr>
        <w:t>xx</w:t>
      </w:r>
      <w:proofErr w:type="spellEnd"/>
      <w:r w:rsidR="004928BA">
        <w:rPr>
          <w:lang w:val="en-US"/>
        </w:rPr>
        <w:t xml:space="preserve">, </w:t>
      </w:r>
      <w:r w:rsidR="00436427">
        <w:rPr>
          <w:lang w:val="en-US"/>
        </w:rPr>
        <w:t>with</w:t>
      </w:r>
      <w:r w:rsidR="004928BA">
        <w:rPr>
          <w:lang w:val="en-US"/>
        </w:rPr>
        <w:t xml:space="preserve"> xx </w:t>
      </w:r>
      <w:r w:rsidR="00D475ED">
        <w:rPr>
          <w:lang w:val="en-US"/>
        </w:rPr>
        <w:t xml:space="preserve">indicating the % molar Sr constitution in </w:t>
      </w:r>
      <w:r w:rsidR="00315D52">
        <w:rPr>
          <w:lang w:val="en-US"/>
        </w:rPr>
        <w:t xml:space="preserve">respect to </w:t>
      </w:r>
      <w:r w:rsidR="00D475ED">
        <w:rPr>
          <w:lang w:val="en-US"/>
        </w:rPr>
        <w:t xml:space="preserve">the total La-Sr </w:t>
      </w:r>
      <w:r w:rsidR="00315D52">
        <w:rPr>
          <w:lang w:val="en-US"/>
        </w:rPr>
        <w:t>moles</w:t>
      </w:r>
      <w:r w:rsidR="00D475ED">
        <w:rPr>
          <w:lang w:val="en-US"/>
        </w:rPr>
        <w:t xml:space="preserve"> </w:t>
      </w:r>
      <w:r w:rsidR="00315D52">
        <w:rPr>
          <w:lang w:val="en-US"/>
        </w:rPr>
        <w:t>in</w:t>
      </w:r>
      <w:r w:rsidR="00D475ED">
        <w:rPr>
          <w:lang w:val="en-US"/>
        </w:rPr>
        <w:t xml:space="preserve"> the perovskite</w:t>
      </w:r>
      <w:r w:rsidR="00315D52">
        <w:rPr>
          <w:lang w:val="en-US"/>
        </w:rPr>
        <w:t xml:space="preserve"> chemical formula (Table 1).</w:t>
      </w:r>
    </w:p>
    <w:p w14:paraId="39BFC385" w14:textId="651C3FDC" w:rsidR="00B45FF5" w:rsidRPr="00B45FF5" w:rsidRDefault="003B0A0B" w:rsidP="003B0A0B">
      <w:pPr>
        <w:pStyle w:val="S09PARAGRAFISUCESSIVI"/>
        <w:tabs>
          <w:tab w:val="left" w:pos="360"/>
        </w:tabs>
        <w:ind w:firstLine="0"/>
        <w:rPr>
          <w:lang w:val="it-IT"/>
        </w:rPr>
      </w:pPr>
      <w:r>
        <w:rPr>
          <w:lang w:val="it-IT"/>
        </w:rPr>
        <w:tab/>
      </w:r>
      <w:r w:rsidR="00B45FF5" w:rsidRPr="00B45FF5">
        <w:rPr>
          <w:lang w:val="it-IT"/>
        </w:rPr>
        <w:t>Ir</w:t>
      </w:r>
      <w:r w:rsidR="00315D52">
        <w:rPr>
          <w:lang w:val="it-IT"/>
        </w:rPr>
        <w:t>idium</w:t>
      </w:r>
      <w:r w:rsidR="00B45FF5" w:rsidRPr="00B45FF5">
        <w:rPr>
          <w:lang w:val="it-IT"/>
        </w:rPr>
        <w:t xml:space="preserve"> was </w:t>
      </w:r>
      <w:r w:rsidR="00315D52">
        <w:rPr>
          <w:lang w:val="it-IT"/>
        </w:rPr>
        <w:t xml:space="preserve">incoprorated on </w:t>
      </w:r>
      <w:r w:rsidR="00436427">
        <w:rPr>
          <w:lang w:val="it-IT"/>
        </w:rPr>
        <w:t xml:space="preserve">the </w:t>
      </w:r>
      <w:r w:rsidR="00315D52">
        <w:rPr>
          <w:lang w:val="it-IT"/>
        </w:rPr>
        <w:t>LSM supports using the conventional</w:t>
      </w:r>
      <w:r w:rsidR="00B45FF5" w:rsidRPr="00B45FF5">
        <w:rPr>
          <w:lang w:val="it-IT"/>
        </w:rPr>
        <w:t xml:space="preserve"> wet impregnation </w:t>
      </w:r>
      <w:r w:rsidR="00315D52">
        <w:rPr>
          <w:lang w:val="it-IT"/>
        </w:rPr>
        <w:t xml:space="preserve">method. </w:t>
      </w:r>
      <w:r w:rsidR="00DF43C0">
        <w:rPr>
          <w:lang w:val="it-IT"/>
        </w:rPr>
        <w:t xml:space="preserve">Approprtiate amounts of </w:t>
      </w:r>
      <w:r w:rsidR="00DF43C0">
        <w:t>t</w:t>
      </w:r>
      <w:r w:rsidR="00315D52" w:rsidRPr="005933D3">
        <w:t xml:space="preserve">he as prepared </w:t>
      </w:r>
      <w:r w:rsidR="00315D52">
        <w:t>LSM perovskites</w:t>
      </w:r>
      <w:r w:rsidR="00315D52" w:rsidRPr="005933D3">
        <w:t xml:space="preserve"> were impregnated by </w:t>
      </w:r>
      <w:r w:rsidR="00DF43C0">
        <w:t xml:space="preserve">a </w:t>
      </w:r>
      <w:r w:rsidR="00315D52" w:rsidRPr="005933D3">
        <w:t>IrCl</w:t>
      </w:r>
      <w:r w:rsidR="00DF43C0">
        <w:rPr>
          <w:vertAlign w:val="subscript"/>
        </w:rPr>
        <w:t>3</w:t>
      </w:r>
      <w:r w:rsidR="00315D52" w:rsidRPr="005933D3">
        <w:t xml:space="preserve"> </w:t>
      </w:r>
      <w:r w:rsidR="00DF43C0">
        <w:t xml:space="preserve">aqueous </w:t>
      </w:r>
      <w:r w:rsidR="00315D52" w:rsidRPr="005933D3">
        <w:t xml:space="preserve">solution </w:t>
      </w:r>
      <w:r w:rsidR="00DF43C0">
        <w:t xml:space="preserve">of </w:t>
      </w:r>
      <w:r w:rsidR="00DF43C0">
        <w:rPr>
          <w:lang w:val="it-IT"/>
        </w:rPr>
        <w:t>2mg Ir/mL</w:t>
      </w:r>
      <w:r w:rsidR="00DF43C0" w:rsidRPr="005933D3">
        <w:t xml:space="preserve"> </w:t>
      </w:r>
      <w:r w:rsidR="00DF43C0">
        <w:t xml:space="preserve">(prepared by dissolution of </w:t>
      </w:r>
      <w:r w:rsidR="00DF43C0" w:rsidRPr="00DF43C0">
        <w:rPr>
          <w:lang w:val="it-IT"/>
        </w:rPr>
        <w:t>IrCl</w:t>
      </w:r>
      <w:r w:rsidR="00DF43C0" w:rsidRPr="00DF43C0">
        <w:rPr>
          <w:vertAlign w:val="subscript"/>
          <w:lang w:val="it-IT"/>
        </w:rPr>
        <w:t>3</w:t>
      </w:r>
      <w:r w:rsidR="00DF43C0" w:rsidRPr="00DF43C0">
        <w:rPr>
          <w:lang w:val="it-IT"/>
        </w:rPr>
        <w:t>·xH</w:t>
      </w:r>
      <w:r w:rsidR="00DF43C0" w:rsidRPr="00DF43C0">
        <w:rPr>
          <w:vertAlign w:val="subscript"/>
          <w:lang w:val="it-IT"/>
        </w:rPr>
        <w:t>2</w:t>
      </w:r>
      <w:r w:rsidR="00DF43C0" w:rsidRPr="00DF43C0">
        <w:rPr>
          <w:lang w:val="it-IT"/>
        </w:rPr>
        <w:t xml:space="preserve">O (99.9%, abcr) </w:t>
      </w:r>
      <w:r w:rsidR="00DF43C0">
        <w:rPr>
          <w:lang w:val="it-IT"/>
        </w:rPr>
        <w:t xml:space="preserve">in de-ionized water) </w:t>
      </w:r>
      <w:r w:rsidR="00315D52" w:rsidRPr="005933D3">
        <w:t xml:space="preserve">in order to </w:t>
      </w:r>
      <w:r w:rsidR="00315D52">
        <w:t xml:space="preserve">obtain an </w:t>
      </w:r>
      <w:proofErr w:type="spellStart"/>
      <w:r w:rsidR="00315D52">
        <w:t>Ir</w:t>
      </w:r>
      <w:proofErr w:type="spellEnd"/>
      <w:r w:rsidR="00315D52">
        <w:t xml:space="preserve"> loading of </w:t>
      </w:r>
      <w:r w:rsidR="00DF43C0">
        <w:t>2</w:t>
      </w:r>
      <w:r w:rsidR="00836ABC">
        <w:t xml:space="preserve"> </w:t>
      </w:r>
      <w:proofErr w:type="spellStart"/>
      <w:r w:rsidR="00315D52" w:rsidRPr="005933D3">
        <w:t>wt</w:t>
      </w:r>
      <w:proofErr w:type="spellEnd"/>
      <w:r w:rsidR="00315D52" w:rsidRPr="005933D3">
        <w:t xml:space="preserve">%. </w:t>
      </w:r>
      <w:r w:rsidR="00836ABC" w:rsidRPr="00B45FF5">
        <w:rPr>
          <w:lang w:val="it-IT"/>
        </w:rPr>
        <w:t>The slurr</w:t>
      </w:r>
      <w:r w:rsidR="00836ABC">
        <w:rPr>
          <w:lang w:val="it-IT"/>
        </w:rPr>
        <w:t>ies</w:t>
      </w:r>
      <w:r w:rsidR="00836ABC" w:rsidRPr="00B45FF5">
        <w:rPr>
          <w:lang w:val="it-IT"/>
        </w:rPr>
        <w:t xml:space="preserve"> w</w:t>
      </w:r>
      <w:r w:rsidR="00836ABC">
        <w:rPr>
          <w:lang w:val="it-IT"/>
        </w:rPr>
        <w:t xml:space="preserve">ere under continuous stirring on a hot plate </w:t>
      </w:r>
      <w:r w:rsidR="00836ABC" w:rsidRPr="00B45FF5">
        <w:rPr>
          <w:lang w:val="it-IT"/>
        </w:rPr>
        <w:t>at 75</w:t>
      </w:r>
      <w:r w:rsidR="00836ABC" w:rsidRPr="00B45FF5">
        <w:rPr>
          <w:vertAlign w:val="superscript"/>
          <w:lang w:val="it-IT"/>
        </w:rPr>
        <w:t>o</w:t>
      </w:r>
      <w:r w:rsidR="00836ABC" w:rsidRPr="00B45FF5">
        <w:rPr>
          <w:lang w:val="it-IT"/>
        </w:rPr>
        <w:t xml:space="preserve">C </w:t>
      </w:r>
      <w:r w:rsidR="00836ABC">
        <w:rPr>
          <w:lang w:val="it-IT"/>
        </w:rPr>
        <w:t>until drying</w:t>
      </w:r>
      <w:r w:rsidR="00836ABC" w:rsidRPr="00B45FF5">
        <w:rPr>
          <w:lang w:val="it-IT"/>
        </w:rPr>
        <w:t>.</w:t>
      </w:r>
      <w:r w:rsidR="00836ABC">
        <w:rPr>
          <w:lang w:val="it-IT"/>
        </w:rPr>
        <w:t xml:space="preserve"> </w:t>
      </w:r>
      <w:r w:rsidR="00315D52" w:rsidRPr="005933D3">
        <w:t xml:space="preserve">The </w:t>
      </w:r>
      <w:r w:rsidR="00315D52">
        <w:t xml:space="preserve">resulting </w:t>
      </w:r>
      <w:r w:rsidR="00836ABC">
        <w:t>materials</w:t>
      </w:r>
      <w:r w:rsidR="00315D52" w:rsidRPr="005933D3">
        <w:t xml:space="preserve"> were </w:t>
      </w:r>
      <w:r w:rsidR="00836ABC">
        <w:t xml:space="preserve">further </w:t>
      </w:r>
      <w:r w:rsidR="00315D52" w:rsidRPr="005933D3">
        <w:t xml:space="preserve">dried at 110 </w:t>
      </w:r>
      <w:proofErr w:type="spellStart"/>
      <w:r w:rsidR="00315D52" w:rsidRPr="00DE386F">
        <w:rPr>
          <w:vertAlign w:val="superscript"/>
        </w:rPr>
        <w:t>o</w:t>
      </w:r>
      <w:r w:rsidR="00315D52">
        <w:t>C</w:t>
      </w:r>
      <w:proofErr w:type="spellEnd"/>
      <w:r w:rsidR="00836ABC">
        <w:t xml:space="preserve"> overnight </w:t>
      </w:r>
      <w:r w:rsidR="00315D52">
        <w:t>and</w:t>
      </w:r>
      <w:r w:rsidR="00315D52" w:rsidRPr="005933D3">
        <w:t xml:space="preserve"> then </w:t>
      </w:r>
      <w:r w:rsidR="00836ABC">
        <w:t xml:space="preserve">moved in a gas flowing system for a 3 h </w:t>
      </w:r>
      <w:r w:rsidR="00315D52" w:rsidRPr="005933D3">
        <w:t>reduc</w:t>
      </w:r>
      <w:r w:rsidR="00836ABC">
        <w:t>tion</w:t>
      </w:r>
      <w:r w:rsidR="00315D52" w:rsidRPr="005933D3">
        <w:t xml:space="preserve"> at 400 </w:t>
      </w:r>
      <w:proofErr w:type="spellStart"/>
      <w:r w:rsidR="00315D52" w:rsidRPr="00DE386F">
        <w:rPr>
          <w:vertAlign w:val="superscript"/>
        </w:rPr>
        <w:t>o</w:t>
      </w:r>
      <w:r w:rsidR="00315D52" w:rsidRPr="005933D3">
        <w:t>C</w:t>
      </w:r>
      <w:proofErr w:type="spellEnd"/>
      <w:r w:rsidR="00315D52" w:rsidRPr="005933D3">
        <w:t xml:space="preserve"> under 25 % H</w:t>
      </w:r>
      <w:r w:rsidR="00315D52" w:rsidRPr="00DE386F">
        <w:rPr>
          <w:vertAlign w:val="subscript"/>
        </w:rPr>
        <w:t>2</w:t>
      </w:r>
      <w:r w:rsidR="00315D52" w:rsidRPr="005933D3">
        <w:t>/</w:t>
      </w:r>
      <w:r w:rsidR="00836ABC">
        <w:t>He</w:t>
      </w:r>
      <w:r w:rsidR="00315D52" w:rsidRPr="005933D3">
        <w:t xml:space="preserve"> flow to </w:t>
      </w:r>
      <w:r w:rsidR="00836ABC" w:rsidRPr="00B45FF5">
        <w:rPr>
          <w:lang w:val="it-IT"/>
        </w:rPr>
        <w:t>achieve the effective removal of residual chlorine result</w:t>
      </w:r>
      <w:r w:rsidR="00836ABC">
        <w:rPr>
          <w:lang w:val="it-IT"/>
        </w:rPr>
        <w:t>ed from the decomposition of</w:t>
      </w:r>
      <w:r w:rsidR="00836ABC" w:rsidRPr="00B45FF5">
        <w:rPr>
          <w:lang w:val="it-IT"/>
        </w:rPr>
        <w:t xml:space="preserve"> </w:t>
      </w:r>
      <w:r w:rsidR="00836ABC">
        <w:rPr>
          <w:lang w:val="it-IT"/>
        </w:rPr>
        <w:t>the</w:t>
      </w:r>
      <w:r w:rsidR="00836ABC" w:rsidRPr="00B45FF5">
        <w:rPr>
          <w:lang w:val="it-IT"/>
        </w:rPr>
        <w:t xml:space="preserve"> IrCl</w:t>
      </w:r>
      <w:r w:rsidR="00836ABC" w:rsidRPr="00B45FF5">
        <w:rPr>
          <w:vertAlign w:val="subscript"/>
          <w:lang w:val="it-IT"/>
        </w:rPr>
        <w:t>3</w:t>
      </w:r>
      <w:r w:rsidR="00836ABC" w:rsidRPr="00B45FF5">
        <w:rPr>
          <w:lang w:val="it-IT"/>
        </w:rPr>
        <w:t xml:space="preserve"> </w:t>
      </w:r>
      <w:r w:rsidR="00836ABC">
        <w:rPr>
          <w:lang w:val="it-IT"/>
        </w:rPr>
        <w:t>precursor and to</w:t>
      </w:r>
      <w:r w:rsidR="00836ABC" w:rsidRPr="00B45FF5">
        <w:t xml:space="preserve"> </w:t>
      </w:r>
      <w:r w:rsidR="00315D52" w:rsidRPr="005933D3">
        <w:t xml:space="preserve">avoid the formation of large </w:t>
      </w:r>
      <w:proofErr w:type="spellStart"/>
      <w:r w:rsidR="00315D52" w:rsidRPr="005933D3">
        <w:t>Ir</w:t>
      </w:r>
      <w:proofErr w:type="spellEnd"/>
      <w:r w:rsidR="00315D52" w:rsidRPr="005933D3">
        <w:t xml:space="preserve"> </w:t>
      </w:r>
      <w:r w:rsidR="00315D52" w:rsidRPr="005A0889">
        <w:t>crystallites</w:t>
      </w:r>
      <w:r w:rsidR="00836ABC" w:rsidRPr="005A0889">
        <w:t xml:space="preserve"> (</w:t>
      </w:r>
      <w:proofErr w:type="spellStart"/>
      <w:r w:rsidR="00836ABC" w:rsidRPr="005A0889">
        <w:t>Yentekakis</w:t>
      </w:r>
      <w:proofErr w:type="spellEnd"/>
      <w:r w:rsidR="00836ABC" w:rsidRPr="005A0889">
        <w:t xml:space="preserve"> et al., 2016)</w:t>
      </w:r>
      <w:r w:rsidR="00315D52" w:rsidRPr="005A0889">
        <w:t>.</w:t>
      </w:r>
      <w:r w:rsidR="00836ABC" w:rsidRPr="005A0889">
        <w:t xml:space="preserve"> </w:t>
      </w:r>
      <w:r w:rsidRPr="005A0889">
        <w:rPr>
          <w:lang w:val="it-IT"/>
        </w:rPr>
        <w:t>Under this preparation procedure f</w:t>
      </w:r>
      <w:r w:rsidR="00B45FF5" w:rsidRPr="005A0889">
        <w:rPr>
          <w:lang w:val="en-US"/>
        </w:rPr>
        <w:t>our</w:t>
      </w:r>
      <w:r w:rsidR="00B45FF5" w:rsidRPr="005A0889">
        <w:rPr>
          <w:lang w:val="it-IT"/>
        </w:rPr>
        <w:t xml:space="preserve"> </w:t>
      </w:r>
      <w:r w:rsidRPr="005A0889">
        <w:rPr>
          <w:lang w:val="it-IT"/>
        </w:rPr>
        <w:t xml:space="preserve">Ir/LSMxx </w:t>
      </w:r>
      <w:r w:rsidR="00B45FF5" w:rsidRPr="005A0889">
        <w:rPr>
          <w:lang w:val="it-IT"/>
        </w:rPr>
        <w:t>cat</w:t>
      </w:r>
      <w:r w:rsidRPr="005A0889">
        <w:rPr>
          <w:lang w:val="it-IT"/>
        </w:rPr>
        <w:t>alysts were prepared (</w:t>
      </w:r>
      <w:r w:rsidR="00B45FF5" w:rsidRPr="005A0889">
        <w:rPr>
          <w:lang w:val="it-IT"/>
        </w:rPr>
        <w:t>Table 1</w:t>
      </w:r>
      <w:r w:rsidRPr="005A0889">
        <w:rPr>
          <w:lang w:val="it-IT"/>
        </w:rPr>
        <w:t>)</w:t>
      </w:r>
      <w:r w:rsidR="00B45FF5" w:rsidRPr="005A0889">
        <w:rPr>
          <w:lang w:val="it-IT"/>
        </w:rPr>
        <w:t>.</w:t>
      </w:r>
    </w:p>
    <w:p w14:paraId="3512C920" w14:textId="4B1BCC51" w:rsidR="007A1AE5" w:rsidRDefault="007A1AE5" w:rsidP="007A3851">
      <w:pPr>
        <w:pStyle w:val="S09PARAGRAFISUCESSIVI"/>
        <w:ind w:firstLine="0"/>
      </w:pPr>
    </w:p>
    <w:p w14:paraId="59424D3B" w14:textId="23468D7D" w:rsidR="00990858" w:rsidRPr="00A16B32" w:rsidRDefault="00990858" w:rsidP="00990858">
      <w:pPr>
        <w:pStyle w:val="ad"/>
        <w:keepNext/>
        <w:ind w:firstLine="0"/>
        <w:rPr>
          <w:b/>
          <w:bCs/>
          <w:color w:val="auto"/>
          <w:sz w:val="24"/>
          <w:szCs w:val="24"/>
        </w:rPr>
      </w:pPr>
      <w:r w:rsidRPr="00371F71">
        <w:rPr>
          <w:b/>
          <w:bCs/>
          <w:i w:val="0"/>
          <w:color w:val="auto"/>
          <w:sz w:val="24"/>
          <w:szCs w:val="24"/>
        </w:rPr>
        <w:t xml:space="preserve">Table </w:t>
      </w:r>
      <w:r w:rsidRPr="00371F71">
        <w:rPr>
          <w:b/>
          <w:bCs/>
          <w:i w:val="0"/>
          <w:color w:val="auto"/>
          <w:sz w:val="24"/>
          <w:szCs w:val="24"/>
        </w:rPr>
        <w:fldChar w:fldCharType="begin"/>
      </w:r>
      <w:r w:rsidRPr="00371F71">
        <w:rPr>
          <w:b/>
          <w:bCs/>
          <w:i w:val="0"/>
          <w:color w:val="auto"/>
          <w:sz w:val="24"/>
          <w:szCs w:val="24"/>
        </w:rPr>
        <w:instrText xml:space="preserve"> SEQ Figure \* ARABIC </w:instrText>
      </w:r>
      <w:r w:rsidRPr="00371F71">
        <w:rPr>
          <w:b/>
          <w:bCs/>
          <w:i w:val="0"/>
          <w:color w:val="auto"/>
          <w:sz w:val="24"/>
          <w:szCs w:val="24"/>
        </w:rPr>
        <w:fldChar w:fldCharType="separate"/>
      </w:r>
      <w:r w:rsidR="00892CA0">
        <w:rPr>
          <w:b/>
          <w:bCs/>
          <w:i w:val="0"/>
          <w:noProof/>
          <w:color w:val="auto"/>
          <w:sz w:val="24"/>
          <w:szCs w:val="24"/>
        </w:rPr>
        <w:t>1</w:t>
      </w:r>
      <w:r w:rsidRPr="00371F71">
        <w:rPr>
          <w:b/>
          <w:bCs/>
          <w:i w:val="0"/>
          <w:color w:val="auto"/>
          <w:sz w:val="24"/>
          <w:szCs w:val="24"/>
        </w:rPr>
        <w:fldChar w:fldCharType="end"/>
      </w:r>
      <w:r w:rsidR="00371F71" w:rsidRPr="00371F71">
        <w:rPr>
          <w:b/>
          <w:bCs/>
          <w:i w:val="0"/>
          <w:color w:val="auto"/>
          <w:sz w:val="24"/>
          <w:szCs w:val="24"/>
        </w:rPr>
        <w:t>.</w:t>
      </w:r>
      <w:r>
        <w:rPr>
          <w:b/>
          <w:bCs/>
          <w:color w:val="auto"/>
          <w:sz w:val="24"/>
          <w:szCs w:val="24"/>
        </w:rPr>
        <w:t xml:space="preserve"> </w:t>
      </w:r>
      <w:r w:rsidR="008A041E" w:rsidRPr="00371F71">
        <w:rPr>
          <w:bCs/>
          <w:i w:val="0"/>
          <w:color w:val="auto"/>
          <w:sz w:val="24"/>
          <w:szCs w:val="24"/>
        </w:rPr>
        <w:t>Textural,</w:t>
      </w:r>
      <w:r w:rsidR="008A041E">
        <w:rPr>
          <w:b/>
          <w:bCs/>
          <w:color w:val="auto"/>
          <w:sz w:val="24"/>
          <w:szCs w:val="24"/>
        </w:rPr>
        <w:t xml:space="preserve"> </w:t>
      </w:r>
      <w:r w:rsidR="00371F71">
        <w:rPr>
          <w:rFonts w:ascii="Times New Roman" w:hAnsi="Times New Roman" w:cs="Times New Roman"/>
          <w:i w:val="0"/>
          <w:iCs w:val="0"/>
          <w:color w:val="000000" w:themeColor="text1"/>
          <w:sz w:val="22"/>
          <w:szCs w:val="22"/>
        </w:rPr>
        <w:t>m</w:t>
      </w:r>
      <w:r w:rsidR="00FC0361">
        <w:rPr>
          <w:rFonts w:ascii="Times New Roman" w:hAnsi="Times New Roman" w:cs="Times New Roman"/>
          <w:i w:val="0"/>
          <w:iCs w:val="0"/>
          <w:color w:val="000000" w:themeColor="text1"/>
          <w:sz w:val="22"/>
          <w:szCs w:val="22"/>
        </w:rPr>
        <w:t xml:space="preserve">orphological </w:t>
      </w:r>
      <w:r w:rsidR="008A041E">
        <w:rPr>
          <w:rFonts w:ascii="Times New Roman" w:hAnsi="Times New Roman" w:cs="Times New Roman"/>
          <w:i w:val="0"/>
          <w:iCs w:val="0"/>
          <w:color w:val="000000" w:themeColor="text1"/>
          <w:sz w:val="22"/>
          <w:szCs w:val="22"/>
        </w:rPr>
        <w:t xml:space="preserve">and reducibility </w:t>
      </w:r>
      <w:r w:rsidR="00FC0361">
        <w:rPr>
          <w:rFonts w:ascii="Times New Roman" w:hAnsi="Times New Roman" w:cs="Times New Roman"/>
          <w:i w:val="0"/>
          <w:iCs w:val="0"/>
          <w:color w:val="000000" w:themeColor="text1"/>
          <w:sz w:val="22"/>
          <w:szCs w:val="22"/>
        </w:rPr>
        <w:t xml:space="preserve">characteristics </w:t>
      </w:r>
      <w:r w:rsidRPr="008758CA">
        <w:rPr>
          <w:rFonts w:ascii="Times New Roman" w:hAnsi="Times New Roman" w:cs="Times New Roman"/>
          <w:i w:val="0"/>
          <w:iCs w:val="0"/>
          <w:color w:val="000000" w:themeColor="text1"/>
          <w:sz w:val="22"/>
          <w:szCs w:val="22"/>
        </w:rPr>
        <w:t xml:space="preserve">of the </w:t>
      </w:r>
      <w:r>
        <w:rPr>
          <w:rFonts w:ascii="Times New Roman" w:hAnsi="Times New Roman" w:cs="Times New Roman"/>
          <w:i w:val="0"/>
          <w:iCs w:val="0"/>
          <w:color w:val="000000" w:themeColor="text1"/>
          <w:sz w:val="22"/>
          <w:szCs w:val="22"/>
        </w:rPr>
        <w:t>La</w:t>
      </w:r>
      <w:r>
        <w:rPr>
          <w:rFonts w:ascii="Times New Roman" w:hAnsi="Times New Roman" w:cs="Times New Roman"/>
          <w:i w:val="0"/>
          <w:iCs w:val="0"/>
          <w:color w:val="000000" w:themeColor="text1"/>
          <w:sz w:val="22"/>
          <w:szCs w:val="22"/>
          <w:vertAlign w:val="subscript"/>
        </w:rPr>
        <w:t>1-x</w:t>
      </w:r>
      <w:r>
        <w:rPr>
          <w:rFonts w:ascii="Times New Roman" w:hAnsi="Times New Roman" w:cs="Times New Roman"/>
          <w:i w:val="0"/>
          <w:iCs w:val="0"/>
          <w:color w:val="000000" w:themeColor="text1"/>
          <w:sz w:val="22"/>
          <w:szCs w:val="22"/>
        </w:rPr>
        <w:t>Sr</w:t>
      </w:r>
      <w:r>
        <w:rPr>
          <w:rFonts w:ascii="Times New Roman" w:hAnsi="Times New Roman" w:cs="Times New Roman"/>
          <w:i w:val="0"/>
          <w:iCs w:val="0"/>
          <w:color w:val="000000" w:themeColor="text1"/>
          <w:sz w:val="22"/>
          <w:szCs w:val="22"/>
          <w:vertAlign w:val="subscript"/>
        </w:rPr>
        <w:t>x</w:t>
      </w:r>
      <w:r>
        <w:rPr>
          <w:rFonts w:ascii="Times New Roman" w:hAnsi="Times New Roman" w:cs="Times New Roman"/>
          <w:i w:val="0"/>
          <w:iCs w:val="0"/>
          <w:color w:val="000000" w:themeColor="text1"/>
          <w:sz w:val="22"/>
          <w:szCs w:val="22"/>
        </w:rPr>
        <w:t>MnO</w:t>
      </w:r>
      <w:r>
        <w:rPr>
          <w:rFonts w:ascii="Times New Roman" w:hAnsi="Times New Roman" w:cs="Times New Roman"/>
          <w:i w:val="0"/>
          <w:iCs w:val="0"/>
          <w:color w:val="000000" w:themeColor="text1"/>
          <w:sz w:val="22"/>
          <w:szCs w:val="22"/>
          <w:vertAlign w:val="subscript"/>
        </w:rPr>
        <w:t>3</w:t>
      </w:r>
      <w:r w:rsidRPr="008758CA">
        <w:rPr>
          <w:rFonts w:ascii="Times New Roman" w:hAnsi="Times New Roman" w:cs="Times New Roman"/>
          <w:i w:val="0"/>
          <w:iCs w:val="0"/>
          <w:color w:val="000000" w:themeColor="text1"/>
          <w:sz w:val="22"/>
          <w:szCs w:val="22"/>
        </w:rPr>
        <w:t xml:space="preserve"> </w:t>
      </w:r>
      <w:r w:rsidR="00FC0361">
        <w:rPr>
          <w:rFonts w:ascii="Times New Roman" w:hAnsi="Times New Roman" w:cs="Times New Roman"/>
          <w:i w:val="0"/>
          <w:iCs w:val="0"/>
          <w:color w:val="000000" w:themeColor="text1"/>
          <w:sz w:val="22"/>
          <w:szCs w:val="22"/>
        </w:rPr>
        <w:t>perovskite supports and the counterpart 2wt%Ir/</w:t>
      </w:r>
      <w:r>
        <w:rPr>
          <w:rFonts w:ascii="Times New Roman" w:hAnsi="Times New Roman" w:cs="Times New Roman"/>
          <w:i w:val="0"/>
          <w:iCs w:val="0"/>
          <w:color w:val="000000" w:themeColor="text1"/>
          <w:sz w:val="22"/>
          <w:szCs w:val="22"/>
        </w:rPr>
        <w:t>La</w:t>
      </w:r>
      <w:r>
        <w:rPr>
          <w:rFonts w:ascii="Times New Roman" w:hAnsi="Times New Roman" w:cs="Times New Roman"/>
          <w:i w:val="0"/>
          <w:iCs w:val="0"/>
          <w:color w:val="000000" w:themeColor="text1"/>
          <w:sz w:val="22"/>
          <w:szCs w:val="22"/>
          <w:vertAlign w:val="subscript"/>
        </w:rPr>
        <w:t>1-x</w:t>
      </w:r>
      <w:r>
        <w:rPr>
          <w:rFonts w:ascii="Times New Roman" w:hAnsi="Times New Roman" w:cs="Times New Roman"/>
          <w:i w:val="0"/>
          <w:iCs w:val="0"/>
          <w:color w:val="000000" w:themeColor="text1"/>
          <w:sz w:val="22"/>
          <w:szCs w:val="22"/>
        </w:rPr>
        <w:t>Sr</w:t>
      </w:r>
      <w:r>
        <w:rPr>
          <w:rFonts w:ascii="Times New Roman" w:hAnsi="Times New Roman" w:cs="Times New Roman"/>
          <w:i w:val="0"/>
          <w:iCs w:val="0"/>
          <w:color w:val="000000" w:themeColor="text1"/>
          <w:sz w:val="22"/>
          <w:szCs w:val="22"/>
          <w:vertAlign w:val="subscript"/>
        </w:rPr>
        <w:t>x</w:t>
      </w:r>
      <w:r>
        <w:rPr>
          <w:rFonts w:ascii="Times New Roman" w:hAnsi="Times New Roman" w:cs="Times New Roman"/>
          <w:i w:val="0"/>
          <w:iCs w:val="0"/>
          <w:color w:val="000000" w:themeColor="text1"/>
          <w:sz w:val="22"/>
          <w:szCs w:val="22"/>
        </w:rPr>
        <w:t>MnO</w:t>
      </w:r>
      <w:r>
        <w:rPr>
          <w:rFonts w:ascii="Times New Roman" w:hAnsi="Times New Roman" w:cs="Times New Roman"/>
          <w:i w:val="0"/>
          <w:iCs w:val="0"/>
          <w:color w:val="000000" w:themeColor="text1"/>
          <w:sz w:val="22"/>
          <w:szCs w:val="22"/>
          <w:vertAlign w:val="subscript"/>
        </w:rPr>
        <w:t>3</w:t>
      </w:r>
      <w:r>
        <w:rPr>
          <w:rFonts w:ascii="Times New Roman" w:hAnsi="Times New Roman" w:cs="Times New Roman"/>
          <w:i w:val="0"/>
          <w:iCs w:val="0"/>
          <w:color w:val="000000" w:themeColor="text1"/>
          <w:sz w:val="22"/>
          <w:szCs w:val="22"/>
        </w:rPr>
        <w:t xml:space="preserve"> catalysts</w:t>
      </w:r>
      <w:r w:rsidR="00B76FBB">
        <w:rPr>
          <w:rFonts w:ascii="Times New Roman" w:hAnsi="Times New Roman" w:cs="Times New Roman"/>
          <w:i w:val="0"/>
          <w:iCs w:val="0"/>
          <w:color w:val="000000" w:themeColor="text1"/>
          <w:sz w:val="22"/>
          <w:szCs w:val="22"/>
        </w:rPr>
        <w:t>.</w:t>
      </w:r>
    </w:p>
    <w:tbl>
      <w:tblPr>
        <w:tblStyle w:val="af"/>
        <w:tblW w:w="9738" w:type="dxa"/>
        <w:tblLayout w:type="fixed"/>
        <w:tblLook w:val="04A0" w:firstRow="1" w:lastRow="0" w:firstColumn="1" w:lastColumn="0" w:noHBand="0" w:noVBand="1"/>
      </w:tblPr>
      <w:tblGrid>
        <w:gridCol w:w="1188"/>
        <w:gridCol w:w="2430"/>
        <w:gridCol w:w="900"/>
        <w:gridCol w:w="1170"/>
        <w:gridCol w:w="1440"/>
        <w:gridCol w:w="1350"/>
        <w:gridCol w:w="1260"/>
      </w:tblGrid>
      <w:tr w:rsidR="004956F5" w:rsidRPr="00F71899" w14:paraId="3376545C" w14:textId="77777777" w:rsidTr="00371F71">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188" w:type="dxa"/>
          </w:tcPr>
          <w:p w14:paraId="5F99AFBE" w14:textId="3FDF45E2" w:rsidR="004956F5" w:rsidRPr="00F71899" w:rsidRDefault="004956F5" w:rsidP="0032782E">
            <w:pPr>
              <w:pStyle w:val="TITLE2"/>
              <w:tabs>
                <w:tab w:val="clear" w:pos="9498"/>
                <w:tab w:val="left" w:pos="2820"/>
              </w:tabs>
              <w:spacing w:before="0" w:after="0" w:line="240" w:lineRule="auto"/>
              <w:jc w:val="center"/>
              <w:rPr>
                <w:rFonts w:ascii="Times New Roman" w:hAnsi="Times New Roman" w:cs="Times New Roman"/>
                <w:bCs w:val="0"/>
                <w:sz w:val="22"/>
                <w:szCs w:val="22"/>
                <w:lang w:val="it-IT"/>
              </w:rPr>
            </w:pPr>
            <w:r w:rsidRPr="00F71899">
              <w:rPr>
                <w:rFonts w:ascii="Times New Roman" w:hAnsi="Times New Roman" w:cs="Times New Roman"/>
                <w:sz w:val="22"/>
                <w:szCs w:val="22"/>
                <w:lang w:val="it-IT"/>
              </w:rPr>
              <w:t>Sample code</w:t>
            </w:r>
          </w:p>
        </w:tc>
        <w:tc>
          <w:tcPr>
            <w:tcW w:w="2430" w:type="dxa"/>
          </w:tcPr>
          <w:p w14:paraId="25F7E7AA" w14:textId="77777777" w:rsidR="004956F5" w:rsidRPr="00F71899" w:rsidRDefault="004956F5" w:rsidP="00F94F58">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val="0"/>
                <w:sz w:val="22"/>
                <w:szCs w:val="22"/>
                <w:lang w:val="it-IT"/>
              </w:rPr>
            </w:pPr>
            <w:r w:rsidRPr="00F71899">
              <w:rPr>
                <w:rFonts w:ascii="Times New Roman" w:hAnsi="Times New Roman" w:cs="Times New Roman"/>
                <w:sz w:val="22"/>
                <w:szCs w:val="22"/>
                <w:lang w:val="it-IT"/>
              </w:rPr>
              <w:t>Chemical Formula</w:t>
            </w:r>
          </w:p>
        </w:tc>
        <w:tc>
          <w:tcPr>
            <w:tcW w:w="900" w:type="dxa"/>
          </w:tcPr>
          <w:p w14:paraId="327F1DDB" w14:textId="4C09763F" w:rsidR="004956F5" w:rsidRPr="00F71899" w:rsidRDefault="004956F5" w:rsidP="00F94F58">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val="0"/>
                <w:sz w:val="22"/>
                <w:szCs w:val="22"/>
                <w:lang w:val="it-IT"/>
              </w:rPr>
            </w:pPr>
            <w:r w:rsidRPr="00F71899">
              <w:rPr>
                <w:rFonts w:ascii="Times New Roman" w:hAnsi="Times New Roman" w:cs="Times New Roman"/>
                <w:sz w:val="22"/>
                <w:szCs w:val="22"/>
                <w:lang w:val="it-IT"/>
              </w:rPr>
              <w:t>S</w:t>
            </w:r>
            <w:r w:rsidRPr="00F71899">
              <w:rPr>
                <w:rFonts w:ascii="Times New Roman" w:hAnsi="Times New Roman" w:cs="Times New Roman"/>
                <w:sz w:val="22"/>
                <w:szCs w:val="22"/>
                <w:vertAlign w:val="subscript"/>
                <w:lang w:val="it-IT"/>
              </w:rPr>
              <w:t>BET</w:t>
            </w:r>
            <w:r w:rsidRPr="00F71899">
              <w:rPr>
                <w:rFonts w:ascii="Times New Roman" w:hAnsi="Times New Roman" w:cs="Times New Roman"/>
                <w:sz w:val="22"/>
                <w:szCs w:val="22"/>
                <w:lang w:val="it-IT"/>
              </w:rPr>
              <w:t xml:space="preserve"> (m</w:t>
            </w:r>
            <w:r w:rsidRPr="00F71899">
              <w:rPr>
                <w:rFonts w:ascii="Times New Roman" w:hAnsi="Times New Roman" w:cs="Times New Roman"/>
                <w:sz w:val="22"/>
                <w:szCs w:val="22"/>
                <w:vertAlign w:val="superscript"/>
                <w:lang w:val="it-IT"/>
              </w:rPr>
              <w:t>2</w:t>
            </w:r>
            <w:r w:rsidRPr="00F71899">
              <w:rPr>
                <w:rFonts w:ascii="Times New Roman" w:hAnsi="Times New Roman" w:cs="Times New Roman"/>
                <w:sz w:val="22"/>
                <w:szCs w:val="22"/>
                <w:lang w:val="it-IT"/>
              </w:rPr>
              <w:t>/g)</w:t>
            </w:r>
          </w:p>
        </w:tc>
        <w:tc>
          <w:tcPr>
            <w:tcW w:w="1170" w:type="dxa"/>
          </w:tcPr>
          <w:p w14:paraId="51A91DC5" w14:textId="18C0050B" w:rsidR="004956F5" w:rsidRPr="00F71899" w:rsidRDefault="008A702F" w:rsidP="00F94F58">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val="0"/>
                <w:sz w:val="22"/>
                <w:szCs w:val="22"/>
                <w:lang w:val="en-US"/>
              </w:rPr>
            </w:pPr>
            <w:r w:rsidRPr="00F71899">
              <w:rPr>
                <w:rFonts w:ascii="Times New Roman" w:hAnsi="Times New Roman" w:cs="Times New Roman"/>
                <w:sz w:val="22"/>
                <w:szCs w:val="22"/>
                <w:lang w:val="en-US"/>
              </w:rPr>
              <w:t>Average p</w:t>
            </w:r>
            <w:r w:rsidR="004956F5" w:rsidRPr="00F71899">
              <w:rPr>
                <w:rFonts w:ascii="Times New Roman" w:hAnsi="Times New Roman" w:cs="Times New Roman"/>
                <w:sz w:val="22"/>
                <w:szCs w:val="22"/>
                <w:lang w:val="en-US"/>
              </w:rPr>
              <w:t>ore diameter (nm)</w:t>
            </w:r>
          </w:p>
        </w:tc>
        <w:tc>
          <w:tcPr>
            <w:tcW w:w="1440" w:type="dxa"/>
          </w:tcPr>
          <w:p w14:paraId="4AA7643D" w14:textId="6B7F290F" w:rsidR="008A702F" w:rsidRPr="00F71899" w:rsidRDefault="005429CB" w:rsidP="008A702F">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it-IT"/>
              </w:rPr>
            </w:pPr>
            <w:r>
              <w:rPr>
                <w:rFonts w:ascii="Times New Roman" w:hAnsi="Times New Roman" w:cs="Times New Roman"/>
                <w:sz w:val="22"/>
                <w:szCs w:val="22"/>
                <w:lang w:val="it-IT"/>
              </w:rPr>
              <w:t xml:space="preserve">Total </w:t>
            </w:r>
            <w:r w:rsidR="004956F5" w:rsidRPr="00F71899">
              <w:rPr>
                <w:rFonts w:ascii="Times New Roman" w:hAnsi="Times New Roman" w:cs="Times New Roman"/>
                <w:sz w:val="22"/>
                <w:szCs w:val="22"/>
                <w:lang w:val="it-IT"/>
              </w:rPr>
              <w:t>OSC</w:t>
            </w:r>
            <w:r w:rsidR="008A702F" w:rsidRPr="00F71899">
              <w:rPr>
                <w:rFonts w:ascii="Times New Roman" w:hAnsi="Times New Roman" w:cs="Times New Roman"/>
                <w:sz w:val="22"/>
                <w:szCs w:val="22"/>
                <w:lang w:val="it-IT"/>
              </w:rPr>
              <w:t xml:space="preserve"> </w:t>
            </w:r>
          </w:p>
          <w:p w14:paraId="1DED6A9B" w14:textId="12BD474A" w:rsidR="008A702F" w:rsidRPr="00F71899" w:rsidRDefault="008A702F" w:rsidP="008A702F">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it-IT"/>
              </w:rPr>
            </w:pPr>
            <w:r w:rsidRPr="00F71899">
              <w:rPr>
                <w:rFonts w:ascii="Times New Roman" w:hAnsi="Times New Roman" w:cs="Times New Roman"/>
                <w:sz w:val="22"/>
                <w:szCs w:val="22"/>
              </w:rPr>
              <w:t>(</w:t>
            </w:r>
            <w:r w:rsidRPr="00F71899">
              <w:rPr>
                <w:rFonts w:ascii="Times New Roman" w:hAnsi="Times New Roman" w:cs="Times New Roman"/>
                <w:sz w:val="22"/>
                <w:szCs w:val="22"/>
                <w:lang w:val="el-GR"/>
              </w:rPr>
              <w:t>μ</w:t>
            </w:r>
            <w:r w:rsidRPr="00F71899">
              <w:rPr>
                <w:rFonts w:ascii="Times New Roman" w:hAnsi="Times New Roman" w:cs="Times New Roman"/>
                <w:sz w:val="22"/>
                <w:szCs w:val="22"/>
                <w:lang w:val="en-US"/>
              </w:rPr>
              <w:t>mol O</w:t>
            </w:r>
            <w:r w:rsidRPr="00F71899">
              <w:rPr>
                <w:rFonts w:ascii="Times New Roman" w:hAnsi="Times New Roman" w:cs="Times New Roman"/>
                <w:sz w:val="22"/>
                <w:szCs w:val="22"/>
                <w:vertAlign w:val="subscript"/>
                <w:lang w:val="en-US"/>
              </w:rPr>
              <w:t>2</w:t>
            </w:r>
            <w:r w:rsidRPr="00F71899">
              <w:rPr>
                <w:rFonts w:ascii="Times New Roman" w:hAnsi="Times New Roman" w:cs="Times New Roman"/>
                <w:sz w:val="22"/>
                <w:szCs w:val="22"/>
                <w:lang w:val="en-US"/>
              </w:rPr>
              <w:t>/g)</w:t>
            </w:r>
          </w:p>
          <w:p w14:paraId="54FA20B9" w14:textId="77777777" w:rsidR="004956F5" w:rsidRPr="00F71899" w:rsidRDefault="004956F5" w:rsidP="00F94F58">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val="0"/>
                <w:sz w:val="22"/>
                <w:szCs w:val="22"/>
                <w:lang w:val="en-US"/>
              </w:rPr>
            </w:pPr>
          </w:p>
        </w:tc>
        <w:tc>
          <w:tcPr>
            <w:tcW w:w="1350" w:type="dxa"/>
          </w:tcPr>
          <w:p w14:paraId="5FE7E5C8" w14:textId="6653C224" w:rsidR="004956F5" w:rsidRPr="00F71899" w:rsidRDefault="004956F5" w:rsidP="00F94F58">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2"/>
                <w:szCs w:val="22"/>
                <w:lang w:val="en-US"/>
              </w:rPr>
            </w:pPr>
            <w:r w:rsidRPr="00F71899">
              <w:rPr>
                <w:rFonts w:ascii="Times New Roman" w:hAnsi="Times New Roman" w:cs="Times New Roman"/>
                <w:sz w:val="22"/>
                <w:szCs w:val="22"/>
                <w:lang w:val="en-US"/>
              </w:rPr>
              <w:t xml:space="preserve">Mean </w:t>
            </w:r>
            <w:proofErr w:type="spellStart"/>
            <w:r w:rsidRPr="00F71899">
              <w:rPr>
                <w:rFonts w:ascii="Times New Roman" w:hAnsi="Times New Roman" w:cs="Times New Roman"/>
                <w:sz w:val="22"/>
                <w:szCs w:val="22"/>
                <w:lang w:val="en-US"/>
              </w:rPr>
              <w:t>Ir</w:t>
            </w:r>
            <w:proofErr w:type="spellEnd"/>
            <w:r w:rsidRPr="00F71899">
              <w:rPr>
                <w:rFonts w:ascii="Times New Roman" w:hAnsi="Times New Roman" w:cs="Times New Roman"/>
                <w:sz w:val="22"/>
                <w:szCs w:val="22"/>
                <w:lang w:val="en-US"/>
              </w:rPr>
              <w:t xml:space="preserve"> particle size (nm)*</w:t>
            </w:r>
          </w:p>
        </w:tc>
        <w:tc>
          <w:tcPr>
            <w:tcW w:w="1260" w:type="dxa"/>
          </w:tcPr>
          <w:p w14:paraId="6A9731A5" w14:textId="2EBEC317" w:rsidR="004956F5" w:rsidRPr="00F71899" w:rsidRDefault="004956F5" w:rsidP="00F94F58">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val="0"/>
                <w:sz w:val="22"/>
                <w:szCs w:val="22"/>
                <w:lang w:val="it-IT"/>
              </w:rPr>
            </w:pPr>
            <w:r w:rsidRPr="00F71899">
              <w:rPr>
                <w:rFonts w:ascii="Times New Roman" w:hAnsi="Times New Roman" w:cs="Times New Roman"/>
                <w:sz w:val="22"/>
                <w:szCs w:val="22"/>
                <w:lang w:val="it-IT"/>
              </w:rPr>
              <w:t>Ir Dispersion (%)</w:t>
            </w:r>
          </w:p>
          <w:p w14:paraId="3D8A6B9A" w14:textId="398D0AAA" w:rsidR="004956F5" w:rsidRPr="00F71899" w:rsidRDefault="004956F5" w:rsidP="0032782E">
            <w:pPr>
              <w:pStyle w:val="TEXT"/>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
        </w:tc>
      </w:tr>
      <w:tr w:rsidR="004956F5" w:rsidRPr="00F71899" w14:paraId="005AD00F" w14:textId="77777777" w:rsidTr="00371F7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41561EF2" w14:textId="77777777" w:rsidR="004956F5" w:rsidRPr="00F71899" w:rsidRDefault="004956F5" w:rsidP="00F94F58">
            <w:pPr>
              <w:pStyle w:val="TITLE2"/>
              <w:tabs>
                <w:tab w:val="clear" w:pos="9498"/>
                <w:tab w:val="left" w:pos="2820"/>
              </w:tabs>
              <w:spacing w:before="0" w:after="0" w:line="240" w:lineRule="auto"/>
              <w:jc w:val="center"/>
              <w:rPr>
                <w:rFonts w:ascii="Times New Roman" w:hAnsi="Times New Roman" w:cs="Times New Roman"/>
                <w:sz w:val="22"/>
                <w:szCs w:val="22"/>
                <w:lang w:val="it-IT"/>
              </w:rPr>
            </w:pPr>
            <w:r w:rsidRPr="00F71899">
              <w:rPr>
                <w:rFonts w:ascii="Times New Roman" w:hAnsi="Times New Roman" w:cs="Times New Roman"/>
                <w:sz w:val="22"/>
                <w:szCs w:val="22"/>
                <w:lang w:val="it-IT"/>
              </w:rPr>
              <w:t>LSM00</w:t>
            </w:r>
          </w:p>
        </w:tc>
        <w:tc>
          <w:tcPr>
            <w:tcW w:w="2430" w:type="dxa"/>
            <w:shd w:val="clear" w:color="auto" w:fill="auto"/>
          </w:tcPr>
          <w:p w14:paraId="1FEE1045" w14:textId="77777777" w:rsidR="004956F5" w:rsidRPr="00F71899" w:rsidRDefault="004956F5" w:rsidP="00F94F58">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LaMnO</w:t>
            </w:r>
            <w:r w:rsidRPr="00F71899">
              <w:rPr>
                <w:rFonts w:ascii="Times New Roman" w:hAnsi="Times New Roman" w:cs="Times New Roman"/>
                <w:b w:val="0"/>
                <w:bCs/>
                <w:sz w:val="22"/>
                <w:szCs w:val="22"/>
                <w:vertAlign w:val="subscript"/>
                <w:lang w:val="it-IT"/>
              </w:rPr>
              <w:t>3</w:t>
            </w:r>
          </w:p>
        </w:tc>
        <w:tc>
          <w:tcPr>
            <w:tcW w:w="900" w:type="dxa"/>
            <w:shd w:val="clear" w:color="auto" w:fill="auto"/>
          </w:tcPr>
          <w:p w14:paraId="0AF2DF31" w14:textId="01C1152D" w:rsidR="004956F5" w:rsidRPr="00F71899" w:rsidRDefault="004956F5" w:rsidP="00F94F58">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12.0</w:t>
            </w:r>
          </w:p>
        </w:tc>
        <w:tc>
          <w:tcPr>
            <w:tcW w:w="1170" w:type="dxa"/>
            <w:shd w:val="clear" w:color="auto" w:fill="auto"/>
          </w:tcPr>
          <w:p w14:paraId="22691027" w14:textId="76ECF247" w:rsidR="004956F5" w:rsidRPr="00F71899" w:rsidRDefault="004956F5" w:rsidP="00F94F58">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10.9</w:t>
            </w:r>
          </w:p>
        </w:tc>
        <w:tc>
          <w:tcPr>
            <w:tcW w:w="1440" w:type="dxa"/>
            <w:shd w:val="clear" w:color="auto" w:fill="auto"/>
          </w:tcPr>
          <w:p w14:paraId="413C5E0C" w14:textId="5098D618" w:rsidR="004956F5" w:rsidRPr="00E12197" w:rsidRDefault="00E12197" w:rsidP="00F94F58">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2"/>
                <w:szCs w:val="22"/>
                <w:lang w:val="it-IT"/>
              </w:rPr>
            </w:pPr>
            <w:r w:rsidRPr="00E12197">
              <w:rPr>
                <w:rFonts w:ascii="Times New Roman" w:hAnsi="Times New Roman" w:cs="Times New Roman"/>
                <w:b w:val="0"/>
                <w:sz w:val="22"/>
                <w:szCs w:val="22"/>
                <w:lang w:val="it-IT"/>
              </w:rPr>
              <w:t>671</w:t>
            </w:r>
          </w:p>
        </w:tc>
        <w:tc>
          <w:tcPr>
            <w:tcW w:w="1350" w:type="dxa"/>
            <w:shd w:val="clear" w:color="auto" w:fill="auto"/>
          </w:tcPr>
          <w:p w14:paraId="339D683C" w14:textId="1AC63718" w:rsidR="004956F5" w:rsidRPr="00F71899" w:rsidRDefault="004956F5" w:rsidP="00F94F58">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it-IT"/>
              </w:rPr>
            </w:pPr>
            <w:r w:rsidRPr="00F71899">
              <w:rPr>
                <w:rFonts w:ascii="Times New Roman" w:hAnsi="Times New Roman" w:cs="Times New Roman"/>
                <w:sz w:val="22"/>
                <w:szCs w:val="22"/>
                <w:lang w:val="it-IT"/>
              </w:rPr>
              <w:t>-</w:t>
            </w:r>
          </w:p>
        </w:tc>
        <w:tc>
          <w:tcPr>
            <w:tcW w:w="1260" w:type="dxa"/>
            <w:shd w:val="clear" w:color="auto" w:fill="auto"/>
          </w:tcPr>
          <w:p w14:paraId="25FBB6B5" w14:textId="3E1E6F58" w:rsidR="004956F5" w:rsidRPr="00E23303" w:rsidRDefault="001A4B1E" w:rsidP="00F94F58">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lang w:val="it-IT"/>
              </w:rPr>
            </w:pPr>
            <w:r w:rsidRPr="00E23303">
              <w:rPr>
                <w:rFonts w:ascii="Times New Roman" w:hAnsi="Times New Roman" w:cs="Times New Roman"/>
                <w:bCs/>
                <w:sz w:val="22"/>
                <w:szCs w:val="22"/>
                <w:lang w:val="it-IT"/>
              </w:rPr>
              <w:t>-</w:t>
            </w:r>
          </w:p>
        </w:tc>
      </w:tr>
      <w:tr w:rsidR="004956F5" w:rsidRPr="00F71899" w14:paraId="3A14C2F6" w14:textId="77777777" w:rsidTr="00371F71">
        <w:trPr>
          <w:trHeight w:val="156"/>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36EC8FE3" w14:textId="77777777" w:rsidR="004956F5" w:rsidRPr="00F71899" w:rsidRDefault="004956F5" w:rsidP="00F94F58">
            <w:pPr>
              <w:pStyle w:val="TITLE2"/>
              <w:tabs>
                <w:tab w:val="clear" w:pos="9498"/>
                <w:tab w:val="left" w:pos="2820"/>
              </w:tabs>
              <w:spacing w:before="0" w:after="0" w:line="240" w:lineRule="auto"/>
              <w:jc w:val="center"/>
              <w:rPr>
                <w:rFonts w:ascii="Times New Roman" w:hAnsi="Times New Roman" w:cs="Times New Roman"/>
                <w:sz w:val="22"/>
                <w:szCs w:val="22"/>
                <w:lang w:val="it-IT"/>
              </w:rPr>
            </w:pPr>
            <w:r w:rsidRPr="00F71899">
              <w:rPr>
                <w:rFonts w:ascii="Times New Roman" w:hAnsi="Times New Roman" w:cs="Times New Roman"/>
                <w:sz w:val="22"/>
                <w:szCs w:val="22"/>
                <w:lang w:val="it-IT"/>
              </w:rPr>
              <w:t>LSM30</w:t>
            </w:r>
          </w:p>
        </w:tc>
        <w:tc>
          <w:tcPr>
            <w:tcW w:w="2430" w:type="dxa"/>
            <w:shd w:val="clear" w:color="auto" w:fill="auto"/>
          </w:tcPr>
          <w:p w14:paraId="2C58D966" w14:textId="77777777" w:rsidR="004956F5" w:rsidRPr="00F71899" w:rsidRDefault="004956F5" w:rsidP="00F94F58">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La</w:t>
            </w:r>
            <w:r w:rsidRPr="00F71899">
              <w:rPr>
                <w:rFonts w:ascii="Times New Roman" w:hAnsi="Times New Roman" w:cs="Times New Roman"/>
                <w:b w:val="0"/>
                <w:bCs/>
                <w:sz w:val="22"/>
                <w:szCs w:val="22"/>
                <w:vertAlign w:val="subscript"/>
                <w:lang w:val="it-IT"/>
              </w:rPr>
              <w:t>0.7</w:t>
            </w:r>
            <w:r w:rsidRPr="00F71899">
              <w:rPr>
                <w:rFonts w:ascii="Times New Roman" w:hAnsi="Times New Roman" w:cs="Times New Roman"/>
                <w:b w:val="0"/>
                <w:bCs/>
                <w:sz w:val="22"/>
                <w:szCs w:val="22"/>
                <w:lang w:val="it-IT"/>
              </w:rPr>
              <w:t>Sr</w:t>
            </w:r>
            <w:r w:rsidRPr="00F71899">
              <w:rPr>
                <w:rFonts w:ascii="Times New Roman" w:hAnsi="Times New Roman" w:cs="Times New Roman"/>
                <w:b w:val="0"/>
                <w:bCs/>
                <w:sz w:val="22"/>
                <w:szCs w:val="22"/>
                <w:vertAlign w:val="subscript"/>
                <w:lang w:val="it-IT"/>
              </w:rPr>
              <w:t>0.3</w:t>
            </w:r>
            <w:r w:rsidRPr="00F71899">
              <w:rPr>
                <w:rFonts w:ascii="Times New Roman" w:hAnsi="Times New Roman" w:cs="Times New Roman"/>
                <w:b w:val="0"/>
                <w:bCs/>
                <w:sz w:val="22"/>
                <w:szCs w:val="22"/>
                <w:lang w:val="it-IT"/>
              </w:rPr>
              <w:t>MnO</w:t>
            </w:r>
            <w:r w:rsidRPr="00F71899">
              <w:rPr>
                <w:rFonts w:ascii="Times New Roman" w:hAnsi="Times New Roman" w:cs="Times New Roman"/>
                <w:b w:val="0"/>
                <w:bCs/>
                <w:sz w:val="22"/>
                <w:szCs w:val="22"/>
                <w:vertAlign w:val="subscript"/>
                <w:lang w:val="it-IT"/>
              </w:rPr>
              <w:t>3</w:t>
            </w:r>
          </w:p>
        </w:tc>
        <w:tc>
          <w:tcPr>
            <w:tcW w:w="900" w:type="dxa"/>
            <w:shd w:val="clear" w:color="auto" w:fill="auto"/>
          </w:tcPr>
          <w:p w14:paraId="6798EF6D" w14:textId="7F8A0829" w:rsidR="004956F5" w:rsidRPr="00F71899" w:rsidRDefault="004956F5" w:rsidP="00F94F58">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10.4</w:t>
            </w:r>
          </w:p>
        </w:tc>
        <w:tc>
          <w:tcPr>
            <w:tcW w:w="1170" w:type="dxa"/>
            <w:shd w:val="clear" w:color="auto" w:fill="auto"/>
          </w:tcPr>
          <w:p w14:paraId="71260C79" w14:textId="0ADB8B6B" w:rsidR="004956F5" w:rsidRPr="00F71899" w:rsidRDefault="004956F5" w:rsidP="00F94F58">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9.84</w:t>
            </w:r>
          </w:p>
        </w:tc>
        <w:tc>
          <w:tcPr>
            <w:tcW w:w="1440" w:type="dxa"/>
            <w:shd w:val="clear" w:color="auto" w:fill="auto"/>
          </w:tcPr>
          <w:p w14:paraId="08EA85CA" w14:textId="2C7B07CA" w:rsidR="004956F5" w:rsidRPr="00E12197" w:rsidRDefault="00E12197" w:rsidP="00F94F58">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szCs w:val="22"/>
                <w:lang w:val="it-IT"/>
              </w:rPr>
            </w:pPr>
            <w:r w:rsidRPr="00E12197">
              <w:rPr>
                <w:rFonts w:ascii="Times New Roman" w:hAnsi="Times New Roman" w:cs="Times New Roman"/>
                <w:b w:val="0"/>
                <w:sz w:val="22"/>
                <w:szCs w:val="22"/>
                <w:lang w:val="it-IT"/>
              </w:rPr>
              <w:t>766</w:t>
            </w:r>
          </w:p>
        </w:tc>
        <w:tc>
          <w:tcPr>
            <w:tcW w:w="1350" w:type="dxa"/>
            <w:shd w:val="clear" w:color="auto" w:fill="auto"/>
          </w:tcPr>
          <w:p w14:paraId="5BB98307" w14:textId="43F0D364" w:rsidR="004956F5" w:rsidRPr="00F71899" w:rsidRDefault="004956F5" w:rsidP="00F94F58">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t-IT"/>
              </w:rPr>
            </w:pPr>
            <w:r w:rsidRPr="00F71899">
              <w:rPr>
                <w:rFonts w:ascii="Times New Roman" w:hAnsi="Times New Roman" w:cs="Times New Roman"/>
                <w:sz w:val="22"/>
                <w:szCs w:val="22"/>
                <w:lang w:val="it-IT"/>
              </w:rPr>
              <w:t>-</w:t>
            </w:r>
          </w:p>
        </w:tc>
        <w:tc>
          <w:tcPr>
            <w:tcW w:w="1260" w:type="dxa"/>
            <w:shd w:val="clear" w:color="auto" w:fill="auto"/>
          </w:tcPr>
          <w:p w14:paraId="580C9D00" w14:textId="30A25EE8" w:rsidR="004956F5" w:rsidRPr="00F71899" w:rsidRDefault="001A4B1E" w:rsidP="00F94F58">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t-IT"/>
              </w:rPr>
            </w:pPr>
            <w:r w:rsidRPr="00F71899">
              <w:rPr>
                <w:rFonts w:ascii="Times New Roman" w:hAnsi="Times New Roman" w:cs="Times New Roman"/>
                <w:sz w:val="22"/>
                <w:szCs w:val="22"/>
                <w:lang w:val="it-IT"/>
              </w:rPr>
              <w:t>-</w:t>
            </w:r>
          </w:p>
        </w:tc>
      </w:tr>
      <w:tr w:rsidR="004956F5" w:rsidRPr="00F71899" w14:paraId="5714B1E8" w14:textId="77777777" w:rsidTr="00371F7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498817BB" w14:textId="77777777" w:rsidR="004956F5" w:rsidRPr="00F71899" w:rsidRDefault="004956F5" w:rsidP="00F94F58">
            <w:pPr>
              <w:pStyle w:val="TITLE2"/>
              <w:tabs>
                <w:tab w:val="clear" w:pos="9498"/>
                <w:tab w:val="left" w:pos="2820"/>
              </w:tabs>
              <w:spacing w:before="0" w:after="0" w:line="240" w:lineRule="auto"/>
              <w:jc w:val="center"/>
              <w:rPr>
                <w:rFonts w:ascii="Times New Roman" w:hAnsi="Times New Roman" w:cs="Times New Roman"/>
                <w:sz w:val="22"/>
                <w:szCs w:val="22"/>
                <w:lang w:val="it-IT"/>
              </w:rPr>
            </w:pPr>
            <w:r w:rsidRPr="00F71899">
              <w:rPr>
                <w:rFonts w:ascii="Times New Roman" w:hAnsi="Times New Roman" w:cs="Times New Roman"/>
                <w:sz w:val="22"/>
                <w:szCs w:val="22"/>
                <w:lang w:val="it-IT"/>
              </w:rPr>
              <w:t>LSM50</w:t>
            </w:r>
          </w:p>
        </w:tc>
        <w:tc>
          <w:tcPr>
            <w:tcW w:w="2430" w:type="dxa"/>
            <w:shd w:val="clear" w:color="auto" w:fill="auto"/>
          </w:tcPr>
          <w:p w14:paraId="05033BE7" w14:textId="77777777" w:rsidR="004956F5" w:rsidRPr="00F71899" w:rsidRDefault="004956F5" w:rsidP="00F94F58">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La</w:t>
            </w:r>
            <w:r w:rsidRPr="00F71899">
              <w:rPr>
                <w:rFonts w:ascii="Times New Roman" w:hAnsi="Times New Roman" w:cs="Times New Roman"/>
                <w:b w:val="0"/>
                <w:bCs/>
                <w:sz w:val="22"/>
                <w:szCs w:val="22"/>
                <w:vertAlign w:val="subscript"/>
                <w:lang w:val="it-IT"/>
              </w:rPr>
              <w:t>0.5</w:t>
            </w:r>
            <w:r w:rsidRPr="00F71899">
              <w:rPr>
                <w:rFonts w:ascii="Times New Roman" w:hAnsi="Times New Roman" w:cs="Times New Roman"/>
                <w:b w:val="0"/>
                <w:bCs/>
                <w:sz w:val="22"/>
                <w:szCs w:val="22"/>
                <w:lang w:val="it-IT"/>
              </w:rPr>
              <w:t>Sr</w:t>
            </w:r>
            <w:r w:rsidRPr="00F71899">
              <w:rPr>
                <w:rFonts w:ascii="Times New Roman" w:hAnsi="Times New Roman" w:cs="Times New Roman"/>
                <w:b w:val="0"/>
                <w:bCs/>
                <w:sz w:val="22"/>
                <w:szCs w:val="22"/>
                <w:vertAlign w:val="subscript"/>
                <w:lang w:val="it-IT"/>
              </w:rPr>
              <w:t>0.5</w:t>
            </w:r>
            <w:r w:rsidRPr="00F71899">
              <w:rPr>
                <w:rFonts w:ascii="Times New Roman" w:hAnsi="Times New Roman" w:cs="Times New Roman"/>
                <w:b w:val="0"/>
                <w:bCs/>
                <w:sz w:val="22"/>
                <w:szCs w:val="22"/>
                <w:lang w:val="it-IT"/>
              </w:rPr>
              <w:t>MnO</w:t>
            </w:r>
            <w:r w:rsidRPr="00F71899">
              <w:rPr>
                <w:rFonts w:ascii="Times New Roman" w:hAnsi="Times New Roman" w:cs="Times New Roman"/>
                <w:b w:val="0"/>
                <w:bCs/>
                <w:sz w:val="22"/>
                <w:szCs w:val="22"/>
                <w:vertAlign w:val="subscript"/>
                <w:lang w:val="it-IT"/>
              </w:rPr>
              <w:t>3</w:t>
            </w:r>
          </w:p>
        </w:tc>
        <w:tc>
          <w:tcPr>
            <w:tcW w:w="900" w:type="dxa"/>
            <w:shd w:val="clear" w:color="auto" w:fill="auto"/>
          </w:tcPr>
          <w:p w14:paraId="681DADA9" w14:textId="4B3DF02D" w:rsidR="004956F5" w:rsidRPr="00F71899" w:rsidRDefault="00C0519C" w:rsidP="00F94F58">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6.8</w:t>
            </w:r>
          </w:p>
        </w:tc>
        <w:tc>
          <w:tcPr>
            <w:tcW w:w="1170" w:type="dxa"/>
            <w:shd w:val="clear" w:color="auto" w:fill="auto"/>
          </w:tcPr>
          <w:p w14:paraId="559C14B2" w14:textId="3871D276" w:rsidR="004956F5" w:rsidRPr="00F71899" w:rsidRDefault="004956F5" w:rsidP="00F94F58">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8.91</w:t>
            </w:r>
          </w:p>
        </w:tc>
        <w:tc>
          <w:tcPr>
            <w:tcW w:w="1440" w:type="dxa"/>
            <w:shd w:val="clear" w:color="auto" w:fill="auto"/>
          </w:tcPr>
          <w:p w14:paraId="38102410" w14:textId="598D64D8" w:rsidR="004956F5" w:rsidRPr="00E12197" w:rsidRDefault="00E12197" w:rsidP="00F94F58">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lang w:val="el-GR"/>
              </w:rPr>
            </w:pPr>
            <w:r w:rsidRPr="00E12197">
              <w:rPr>
                <w:rFonts w:ascii="Times New Roman" w:hAnsi="Times New Roman" w:cs="Times New Roman"/>
                <w:b w:val="0"/>
                <w:color w:val="auto"/>
                <w:sz w:val="22"/>
                <w:szCs w:val="22"/>
                <w:lang w:val="it-IT"/>
              </w:rPr>
              <w:t>886</w:t>
            </w:r>
          </w:p>
        </w:tc>
        <w:tc>
          <w:tcPr>
            <w:tcW w:w="1350" w:type="dxa"/>
            <w:shd w:val="clear" w:color="auto" w:fill="auto"/>
          </w:tcPr>
          <w:p w14:paraId="5FD2C482" w14:textId="281B3D6C" w:rsidR="004956F5" w:rsidRPr="00F71899" w:rsidRDefault="004956F5" w:rsidP="00F94F58">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it-IT"/>
              </w:rPr>
            </w:pPr>
            <w:r w:rsidRPr="00F71899">
              <w:rPr>
                <w:rFonts w:ascii="Times New Roman" w:hAnsi="Times New Roman" w:cs="Times New Roman"/>
                <w:sz w:val="22"/>
                <w:szCs w:val="22"/>
                <w:lang w:val="it-IT"/>
              </w:rPr>
              <w:t>-</w:t>
            </w:r>
          </w:p>
        </w:tc>
        <w:tc>
          <w:tcPr>
            <w:tcW w:w="1260" w:type="dxa"/>
            <w:shd w:val="clear" w:color="auto" w:fill="auto"/>
          </w:tcPr>
          <w:p w14:paraId="6AAA919D" w14:textId="601FBF40" w:rsidR="004956F5" w:rsidRPr="00F71899" w:rsidRDefault="001A4B1E" w:rsidP="00F94F58">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it-IT"/>
              </w:rPr>
            </w:pPr>
            <w:r w:rsidRPr="00F71899">
              <w:rPr>
                <w:rFonts w:ascii="Times New Roman" w:hAnsi="Times New Roman" w:cs="Times New Roman"/>
                <w:sz w:val="22"/>
                <w:szCs w:val="22"/>
                <w:lang w:val="it-IT"/>
              </w:rPr>
              <w:t>-</w:t>
            </w:r>
          </w:p>
        </w:tc>
      </w:tr>
      <w:tr w:rsidR="004956F5" w:rsidRPr="00F71899" w14:paraId="38E2E7A2" w14:textId="77777777" w:rsidTr="00371F71">
        <w:trPr>
          <w:trHeight w:val="15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69434671" w14:textId="77777777" w:rsidR="004956F5" w:rsidRPr="00F71899" w:rsidRDefault="004956F5" w:rsidP="00F94F58">
            <w:pPr>
              <w:pStyle w:val="TITLE2"/>
              <w:tabs>
                <w:tab w:val="clear" w:pos="9498"/>
                <w:tab w:val="left" w:pos="2820"/>
              </w:tabs>
              <w:spacing w:before="0" w:after="0" w:line="240" w:lineRule="auto"/>
              <w:jc w:val="center"/>
              <w:rPr>
                <w:rFonts w:ascii="Times New Roman" w:hAnsi="Times New Roman" w:cs="Times New Roman"/>
                <w:sz w:val="22"/>
                <w:szCs w:val="22"/>
                <w:lang w:val="it-IT"/>
              </w:rPr>
            </w:pPr>
            <w:r w:rsidRPr="00F71899">
              <w:rPr>
                <w:rFonts w:ascii="Times New Roman" w:hAnsi="Times New Roman" w:cs="Times New Roman"/>
                <w:sz w:val="22"/>
                <w:szCs w:val="22"/>
                <w:lang w:val="it-IT"/>
              </w:rPr>
              <w:t>LSM70</w:t>
            </w:r>
          </w:p>
          <w:p w14:paraId="4FF9E7E6" w14:textId="77777777" w:rsidR="004956F5" w:rsidRPr="00F71899" w:rsidRDefault="004956F5" w:rsidP="0032782E">
            <w:pPr>
              <w:pStyle w:val="TEXT"/>
              <w:rPr>
                <w:rFonts w:ascii="Times New Roman" w:hAnsi="Times New Roman" w:cs="Times New Roman"/>
                <w:sz w:val="22"/>
                <w:szCs w:val="22"/>
              </w:rPr>
            </w:pPr>
          </w:p>
        </w:tc>
        <w:tc>
          <w:tcPr>
            <w:tcW w:w="2430" w:type="dxa"/>
            <w:shd w:val="clear" w:color="auto" w:fill="auto"/>
          </w:tcPr>
          <w:p w14:paraId="41423B7F" w14:textId="199BBB16" w:rsidR="004956F5" w:rsidRPr="00F71899" w:rsidRDefault="004956F5" w:rsidP="00F94F58">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t-IT"/>
              </w:rPr>
            </w:pPr>
            <w:r w:rsidRPr="00F71899">
              <w:rPr>
                <w:rFonts w:ascii="Times New Roman" w:hAnsi="Times New Roman" w:cs="Times New Roman"/>
                <w:b w:val="0"/>
                <w:bCs/>
                <w:sz w:val="22"/>
                <w:szCs w:val="22"/>
                <w:lang w:val="it-IT"/>
              </w:rPr>
              <w:t>La</w:t>
            </w:r>
            <w:r w:rsidRPr="00F71899">
              <w:rPr>
                <w:rFonts w:ascii="Times New Roman" w:hAnsi="Times New Roman" w:cs="Times New Roman"/>
                <w:b w:val="0"/>
                <w:bCs/>
                <w:sz w:val="22"/>
                <w:szCs w:val="22"/>
                <w:vertAlign w:val="subscript"/>
                <w:lang w:val="it-IT"/>
              </w:rPr>
              <w:t>0.3</w:t>
            </w:r>
            <w:r w:rsidRPr="00F71899">
              <w:rPr>
                <w:rFonts w:ascii="Times New Roman" w:hAnsi="Times New Roman" w:cs="Times New Roman"/>
                <w:b w:val="0"/>
                <w:bCs/>
                <w:sz w:val="22"/>
                <w:szCs w:val="22"/>
                <w:lang w:val="it-IT"/>
              </w:rPr>
              <w:t>Sr</w:t>
            </w:r>
            <w:r w:rsidRPr="00F71899">
              <w:rPr>
                <w:rFonts w:ascii="Times New Roman" w:hAnsi="Times New Roman" w:cs="Times New Roman"/>
                <w:b w:val="0"/>
                <w:bCs/>
                <w:sz w:val="22"/>
                <w:szCs w:val="22"/>
                <w:vertAlign w:val="subscript"/>
                <w:lang w:val="it-IT"/>
              </w:rPr>
              <w:t>0.7</w:t>
            </w:r>
            <w:r w:rsidRPr="00F71899">
              <w:rPr>
                <w:rFonts w:ascii="Times New Roman" w:hAnsi="Times New Roman" w:cs="Times New Roman"/>
                <w:b w:val="0"/>
                <w:bCs/>
                <w:sz w:val="22"/>
                <w:szCs w:val="22"/>
                <w:lang w:val="it-IT"/>
              </w:rPr>
              <w:t>MnO</w:t>
            </w:r>
            <w:r w:rsidRPr="00F71899">
              <w:rPr>
                <w:rFonts w:ascii="Times New Roman" w:hAnsi="Times New Roman" w:cs="Times New Roman"/>
                <w:b w:val="0"/>
                <w:bCs/>
                <w:sz w:val="22"/>
                <w:szCs w:val="22"/>
                <w:vertAlign w:val="subscript"/>
                <w:lang w:val="it-IT"/>
              </w:rPr>
              <w:t>3</w:t>
            </w:r>
          </w:p>
        </w:tc>
        <w:tc>
          <w:tcPr>
            <w:tcW w:w="900" w:type="dxa"/>
            <w:shd w:val="clear" w:color="auto" w:fill="auto"/>
          </w:tcPr>
          <w:p w14:paraId="24F141EB" w14:textId="71F98634" w:rsidR="004956F5" w:rsidRPr="00F71899" w:rsidRDefault="004956F5" w:rsidP="00F94F58">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11.3</w:t>
            </w:r>
          </w:p>
        </w:tc>
        <w:tc>
          <w:tcPr>
            <w:tcW w:w="1170" w:type="dxa"/>
            <w:shd w:val="clear" w:color="auto" w:fill="auto"/>
          </w:tcPr>
          <w:p w14:paraId="567A927C" w14:textId="62C88BBF" w:rsidR="004956F5" w:rsidRPr="00F71899" w:rsidRDefault="004956F5" w:rsidP="00F94F58">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8.79</w:t>
            </w:r>
          </w:p>
        </w:tc>
        <w:tc>
          <w:tcPr>
            <w:tcW w:w="1440" w:type="dxa"/>
            <w:shd w:val="clear" w:color="auto" w:fill="auto"/>
          </w:tcPr>
          <w:p w14:paraId="7D418B3C" w14:textId="01BE6C94" w:rsidR="004956F5" w:rsidRPr="00E12197" w:rsidRDefault="00E12197" w:rsidP="00F94F58">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lang w:val="en-US"/>
              </w:rPr>
            </w:pPr>
            <w:r w:rsidRPr="00E12197">
              <w:rPr>
                <w:rFonts w:ascii="Times New Roman" w:hAnsi="Times New Roman" w:cs="Times New Roman"/>
                <w:b w:val="0"/>
                <w:color w:val="auto"/>
                <w:sz w:val="22"/>
                <w:szCs w:val="22"/>
                <w:lang w:val="en-US"/>
              </w:rPr>
              <w:t>1219</w:t>
            </w:r>
          </w:p>
        </w:tc>
        <w:tc>
          <w:tcPr>
            <w:tcW w:w="1350" w:type="dxa"/>
            <w:shd w:val="clear" w:color="auto" w:fill="auto"/>
          </w:tcPr>
          <w:p w14:paraId="37528F24" w14:textId="5E444CC2" w:rsidR="004956F5" w:rsidRPr="00F71899" w:rsidRDefault="004956F5" w:rsidP="00F94F58">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t-IT"/>
              </w:rPr>
            </w:pPr>
            <w:r w:rsidRPr="00F71899">
              <w:rPr>
                <w:rFonts w:ascii="Times New Roman" w:hAnsi="Times New Roman" w:cs="Times New Roman"/>
                <w:sz w:val="22"/>
                <w:szCs w:val="22"/>
                <w:lang w:val="it-IT"/>
              </w:rPr>
              <w:t>-</w:t>
            </w:r>
          </w:p>
        </w:tc>
        <w:tc>
          <w:tcPr>
            <w:tcW w:w="1260" w:type="dxa"/>
            <w:shd w:val="clear" w:color="auto" w:fill="auto"/>
          </w:tcPr>
          <w:p w14:paraId="3C66FBF9" w14:textId="3CF8D357" w:rsidR="004956F5" w:rsidRPr="00F71899" w:rsidRDefault="001A4B1E" w:rsidP="00F94F58">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t-IT"/>
              </w:rPr>
            </w:pPr>
            <w:r w:rsidRPr="00F71899">
              <w:rPr>
                <w:rFonts w:ascii="Times New Roman" w:hAnsi="Times New Roman" w:cs="Times New Roman"/>
                <w:sz w:val="22"/>
                <w:szCs w:val="22"/>
                <w:lang w:val="it-IT"/>
              </w:rPr>
              <w:t>-</w:t>
            </w:r>
          </w:p>
        </w:tc>
      </w:tr>
      <w:tr w:rsidR="004956F5" w:rsidRPr="00F71899" w14:paraId="30E2DBF7" w14:textId="77777777" w:rsidTr="00371F71">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73DCFC67" w14:textId="77777777" w:rsidR="004956F5" w:rsidRPr="00F71899" w:rsidRDefault="004956F5" w:rsidP="006012D2">
            <w:pPr>
              <w:pStyle w:val="TITLE2"/>
              <w:tabs>
                <w:tab w:val="clear" w:pos="9498"/>
                <w:tab w:val="left" w:pos="2820"/>
              </w:tabs>
              <w:spacing w:before="0" w:after="0" w:line="240" w:lineRule="auto"/>
              <w:jc w:val="center"/>
              <w:rPr>
                <w:rFonts w:ascii="Times New Roman" w:hAnsi="Times New Roman" w:cs="Times New Roman"/>
                <w:sz w:val="22"/>
                <w:szCs w:val="22"/>
                <w:lang w:val="it-IT"/>
              </w:rPr>
            </w:pPr>
            <w:r w:rsidRPr="00F71899">
              <w:rPr>
                <w:rFonts w:ascii="Times New Roman" w:hAnsi="Times New Roman" w:cs="Times New Roman"/>
                <w:sz w:val="22"/>
                <w:szCs w:val="22"/>
                <w:lang w:val="it-IT"/>
              </w:rPr>
              <w:t>Ir-LSM00</w:t>
            </w:r>
          </w:p>
        </w:tc>
        <w:tc>
          <w:tcPr>
            <w:tcW w:w="2430" w:type="dxa"/>
            <w:shd w:val="clear" w:color="auto" w:fill="auto"/>
          </w:tcPr>
          <w:p w14:paraId="7FCBF15A" w14:textId="7F6ACC0C" w:rsidR="004956F5" w:rsidRPr="00F71899" w:rsidRDefault="004956F5" w:rsidP="0032782E">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2wt%Ir/LaMnO</w:t>
            </w:r>
            <w:r w:rsidRPr="00F71899">
              <w:rPr>
                <w:rFonts w:ascii="Times New Roman" w:hAnsi="Times New Roman" w:cs="Times New Roman"/>
                <w:b w:val="0"/>
                <w:bCs/>
                <w:sz w:val="22"/>
                <w:szCs w:val="22"/>
                <w:vertAlign w:val="subscript"/>
                <w:lang w:val="it-IT"/>
              </w:rPr>
              <w:t>3</w:t>
            </w:r>
          </w:p>
        </w:tc>
        <w:tc>
          <w:tcPr>
            <w:tcW w:w="900" w:type="dxa"/>
            <w:shd w:val="clear" w:color="auto" w:fill="auto"/>
          </w:tcPr>
          <w:p w14:paraId="4DF7064D" w14:textId="2A970288" w:rsidR="004956F5" w:rsidRPr="00F71899" w:rsidRDefault="00657570" w:rsidP="006012D2">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9.7</w:t>
            </w:r>
          </w:p>
        </w:tc>
        <w:tc>
          <w:tcPr>
            <w:tcW w:w="1170" w:type="dxa"/>
            <w:shd w:val="clear" w:color="auto" w:fill="auto"/>
          </w:tcPr>
          <w:p w14:paraId="18B99483" w14:textId="4B19987D" w:rsidR="004956F5" w:rsidRPr="00F71899" w:rsidRDefault="004956F5" w:rsidP="006012D2">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color w:val="000000" w:themeColor="text1"/>
                <w:sz w:val="22"/>
                <w:szCs w:val="22"/>
              </w:rPr>
              <w:t>11.9</w:t>
            </w:r>
          </w:p>
        </w:tc>
        <w:tc>
          <w:tcPr>
            <w:tcW w:w="1440" w:type="dxa"/>
            <w:shd w:val="clear" w:color="auto" w:fill="auto"/>
          </w:tcPr>
          <w:p w14:paraId="26158349" w14:textId="058011E8" w:rsidR="004956F5" w:rsidRPr="00F71899" w:rsidRDefault="00E12197" w:rsidP="006012D2">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it-IT"/>
              </w:rPr>
            </w:pPr>
            <w:r>
              <w:rPr>
                <w:rFonts w:ascii="Times New Roman" w:hAnsi="Times New Roman" w:cs="Times New Roman"/>
                <w:b w:val="0"/>
                <w:bCs/>
                <w:sz w:val="22"/>
                <w:szCs w:val="22"/>
                <w:lang w:val="it-IT"/>
              </w:rPr>
              <w:t>502</w:t>
            </w:r>
          </w:p>
        </w:tc>
        <w:tc>
          <w:tcPr>
            <w:tcW w:w="1350" w:type="dxa"/>
            <w:shd w:val="clear" w:color="auto" w:fill="auto"/>
          </w:tcPr>
          <w:p w14:paraId="22832595" w14:textId="4F18962A" w:rsidR="004956F5" w:rsidRPr="00F71899" w:rsidRDefault="004956F5" w:rsidP="001A4B1E">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2"/>
                <w:szCs w:val="22"/>
                <w:lang w:val="el-GR"/>
              </w:rPr>
            </w:pPr>
            <w:r w:rsidRPr="00F71899">
              <w:rPr>
                <w:rFonts w:ascii="Times New Roman" w:hAnsi="Times New Roman" w:cs="Times New Roman"/>
                <w:b w:val="0"/>
                <w:sz w:val="22"/>
                <w:szCs w:val="22"/>
                <w:lang w:val="it-IT"/>
              </w:rPr>
              <w:t>1.</w:t>
            </w:r>
            <w:r w:rsidR="001A4B1E" w:rsidRPr="00F71899">
              <w:rPr>
                <w:rFonts w:ascii="Times New Roman" w:hAnsi="Times New Roman" w:cs="Times New Roman"/>
                <w:b w:val="0"/>
                <w:sz w:val="22"/>
                <w:szCs w:val="22"/>
                <w:lang w:val="el-GR"/>
              </w:rPr>
              <w:t>1</w:t>
            </w:r>
          </w:p>
        </w:tc>
        <w:tc>
          <w:tcPr>
            <w:tcW w:w="1260" w:type="dxa"/>
            <w:shd w:val="clear" w:color="auto" w:fill="auto"/>
          </w:tcPr>
          <w:p w14:paraId="29B73343" w14:textId="78A85CB1" w:rsidR="004956F5" w:rsidRPr="00F71899" w:rsidRDefault="001A4B1E" w:rsidP="006012D2">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2"/>
                <w:szCs w:val="22"/>
                <w:lang w:val="el-GR"/>
              </w:rPr>
            </w:pPr>
            <w:r w:rsidRPr="00F71899">
              <w:rPr>
                <w:rFonts w:ascii="Times New Roman" w:hAnsi="Times New Roman" w:cs="Times New Roman"/>
                <w:b w:val="0"/>
                <w:bCs/>
                <w:sz w:val="22"/>
                <w:szCs w:val="22"/>
                <w:lang w:val="el-GR"/>
              </w:rPr>
              <w:t>63</w:t>
            </w:r>
          </w:p>
        </w:tc>
      </w:tr>
      <w:tr w:rsidR="004956F5" w:rsidRPr="00F71899" w14:paraId="6CE3ED3D" w14:textId="77777777" w:rsidTr="00371F71">
        <w:trPr>
          <w:trHeight w:val="235"/>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0A1D52CC" w14:textId="77777777" w:rsidR="004956F5" w:rsidRPr="00F71899" w:rsidRDefault="004956F5" w:rsidP="006012D2">
            <w:pPr>
              <w:pStyle w:val="TITLE2"/>
              <w:tabs>
                <w:tab w:val="clear" w:pos="9498"/>
                <w:tab w:val="left" w:pos="2820"/>
              </w:tabs>
              <w:spacing w:before="0" w:after="0" w:line="240" w:lineRule="auto"/>
              <w:jc w:val="center"/>
              <w:rPr>
                <w:rFonts w:ascii="Times New Roman" w:hAnsi="Times New Roman" w:cs="Times New Roman"/>
                <w:sz w:val="22"/>
                <w:szCs w:val="22"/>
                <w:lang w:val="it-IT"/>
              </w:rPr>
            </w:pPr>
            <w:r w:rsidRPr="00F71899">
              <w:rPr>
                <w:rFonts w:ascii="Times New Roman" w:hAnsi="Times New Roman" w:cs="Times New Roman"/>
                <w:sz w:val="22"/>
                <w:szCs w:val="22"/>
                <w:lang w:val="it-IT"/>
              </w:rPr>
              <w:t>Ir-LSM30</w:t>
            </w:r>
          </w:p>
        </w:tc>
        <w:tc>
          <w:tcPr>
            <w:tcW w:w="2430" w:type="dxa"/>
            <w:shd w:val="clear" w:color="auto" w:fill="auto"/>
          </w:tcPr>
          <w:p w14:paraId="21FE1B33" w14:textId="0EFC2BFC" w:rsidR="004956F5" w:rsidRPr="00F71899" w:rsidRDefault="004956F5" w:rsidP="006012D2">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t-IT"/>
              </w:rPr>
            </w:pPr>
            <w:r w:rsidRPr="00F71899">
              <w:rPr>
                <w:rFonts w:ascii="Times New Roman" w:hAnsi="Times New Roman" w:cs="Times New Roman"/>
                <w:b w:val="0"/>
                <w:bCs/>
                <w:sz w:val="22"/>
                <w:szCs w:val="22"/>
                <w:lang w:val="it-IT"/>
              </w:rPr>
              <w:t>2wt%Ir/La</w:t>
            </w:r>
            <w:r w:rsidRPr="00F71899">
              <w:rPr>
                <w:rFonts w:ascii="Times New Roman" w:hAnsi="Times New Roman" w:cs="Times New Roman"/>
                <w:b w:val="0"/>
                <w:bCs/>
                <w:sz w:val="22"/>
                <w:szCs w:val="22"/>
                <w:vertAlign w:val="subscript"/>
                <w:lang w:val="it-IT"/>
              </w:rPr>
              <w:t>0.7</w:t>
            </w:r>
            <w:r w:rsidRPr="00F71899">
              <w:rPr>
                <w:rFonts w:ascii="Times New Roman" w:hAnsi="Times New Roman" w:cs="Times New Roman"/>
                <w:b w:val="0"/>
                <w:bCs/>
                <w:sz w:val="22"/>
                <w:szCs w:val="22"/>
                <w:lang w:val="it-IT"/>
              </w:rPr>
              <w:t>Sr</w:t>
            </w:r>
            <w:r w:rsidRPr="00F71899">
              <w:rPr>
                <w:rFonts w:ascii="Times New Roman" w:hAnsi="Times New Roman" w:cs="Times New Roman"/>
                <w:b w:val="0"/>
                <w:bCs/>
                <w:sz w:val="22"/>
                <w:szCs w:val="22"/>
                <w:vertAlign w:val="subscript"/>
                <w:lang w:val="it-IT"/>
              </w:rPr>
              <w:t>0.3</w:t>
            </w:r>
            <w:r w:rsidRPr="00F71899">
              <w:rPr>
                <w:rFonts w:ascii="Times New Roman" w:hAnsi="Times New Roman" w:cs="Times New Roman"/>
                <w:b w:val="0"/>
                <w:bCs/>
                <w:sz w:val="22"/>
                <w:szCs w:val="22"/>
                <w:lang w:val="it-IT"/>
              </w:rPr>
              <w:t>MnO</w:t>
            </w:r>
            <w:r w:rsidRPr="00F71899">
              <w:rPr>
                <w:rFonts w:ascii="Times New Roman" w:hAnsi="Times New Roman" w:cs="Times New Roman"/>
                <w:b w:val="0"/>
                <w:bCs/>
                <w:sz w:val="22"/>
                <w:szCs w:val="22"/>
                <w:vertAlign w:val="subscript"/>
                <w:lang w:val="it-IT"/>
              </w:rPr>
              <w:t>3</w:t>
            </w:r>
          </w:p>
        </w:tc>
        <w:tc>
          <w:tcPr>
            <w:tcW w:w="900" w:type="dxa"/>
            <w:shd w:val="clear" w:color="auto" w:fill="auto"/>
          </w:tcPr>
          <w:p w14:paraId="2C664B1F" w14:textId="76DB218E" w:rsidR="004956F5" w:rsidRPr="00F71899" w:rsidRDefault="004956F5" w:rsidP="006012D2">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10.5</w:t>
            </w:r>
          </w:p>
        </w:tc>
        <w:tc>
          <w:tcPr>
            <w:tcW w:w="1170" w:type="dxa"/>
            <w:shd w:val="clear" w:color="auto" w:fill="auto"/>
          </w:tcPr>
          <w:p w14:paraId="6B5CA4B3" w14:textId="2FFBDB0A" w:rsidR="004956F5" w:rsidRPr="00F71899" w:rsidRDefault="004956F5" w:rsidP="006012D2">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color w:val="000000" w:themeColor="text1"/>
                <w:sz w:val="22"/>
                <w:szCs w:val="22"/>
              </w:rPr>
              <w:t>9.96</w:t>
            </w:r>
          </w:p>
        </w:tc>
        <w:tc>
          <w:tcPr>
            <w:tcW w:w="1440" w:type="dxa"/>
            <w:shd w:val="clear" w:color="auto" w:fill="auto"/>
          </w:tcPr>
          <w:p w14:paraId="7C14691B" w14:textId="1499B33D" w:rsidR="004956F5" w:rsidRPr="00F71899" w:rsidRDefault="00E12197" w:rsidP="006012D2">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t-IT"/>
              </w:rPr>
            </w:pPr>
            <w:r>
              <w:rPr>
                <w:rFonts w:ascii="Times New Roman" w:hAnsi="Times New Roman" w:cs="Times New Roman"/>
                <w:b w:val="0"/>
                <w:sz w:val="22"/>
                <w:szCs w:val="22"/>
                <w:lang w:val="it-IT"/>
              </w:rPr>
              <w:t>981</w:t>
            </w:r>
          </w:p>
        </w:tc>
        <w:tc>
          <w:tcPr>
            <w:tcW w:w="1350" w:type="dxa"/>
            <w:shd w:val="clear" w:color="auto" w:fill="auto"/>
          </w:tcPr>
          <w:p w14:paraId="5C2748F5" w14:textId="7635293B" w:rsidR="004956F5" w:rsidRPr="00F71899" w:rsidRDefault="004956F5" w:rsidP="001A4B1E">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szCs w:val="22"/>
                <w:lang w:val="el-GR"/>
              </w:rPr>
            </w:pPr>
            <w:r w:rsidRPr="00F71899">
              <w:rPr>
                <w:rFonts w:ascii="Times New Roman" w:hAnsi="Times New Roman" w:cs="Times New Roman"/>
                <w:b w:val="0"/>
                <w:sz w:val="22"/>
                <w:szCs w:val="22"/>
                <w:lang w:val="it-IT"/>
              </w:rPr>
              <w:t>1.</w:t>
            </w:r>
            <w:r w:rsidR="001A4B1E" w:rsidRPr="00F71899">
              <w:rPr>
                <w:rFonts w:ascii="Times New Roman" w:hAnsi="Times New Roman" w:cs="Times New Roman"/>
                <w:b w:val="0"/>
                <w:sz w:val="22"/>
                <w:szCs w:val="22"/>
                <w:lang w:val="el-GR"/>
              </w:rPr>
              <w:t>1</w:t>
            </w:r>
          </w:p>
        </w:tc>
        <w:tc>
          <w:tcPr>
            <w:tcW w:w="1260" w:type="dxa"/>
            <w:shd w:val="clear" w:color="auto" w:fill="auto"/>
          </w:tcPr>
          <w:p w14:paraId="65F71E2D" w14:textId="0003AD11" w:rsidR="004956F5" w:rsidRPr="00F71899" w:rsidRDefault="001A4B1E" w:rsidP="006012D2">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szCs w:val="22"/>
                <w:lang w:val="el-GR"/>
              </w:rPr>
            </w:pPr>
            <w:r w:rsidRPr="00F71899">
              <w:rPr>
                <w:rFonts w:ascii="Times New Roman" w:hAnsi="Times New Roman" w:cs="Times New Roman"/>
                <w:b w:val="0"/>
                <w:sz w:val="22"/>
                <w:szCs w:val="22"/>
                <w:lang w:val="el-GR"/>
              </w:rPr>
              <w:t>62</w:t>
            </w:r>
          </w:p>
        </w:tc>
      </w:tr>
      <w:tr w:rsidR="004956F5" w:rsidRPr="00F71899" w14:paraId="61F5147D" w14:textId="77777777" w:rsidTr="00371F7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tcPr>
          <w:p w14:paraId="7F112FB9" w14:textId="77777777" w:rsidR="004956F5" w:rsidRPr="00F71899" w:rsidRDefault="004956F5" w:rsidP="006012D2">
            <w:pPr>
              <w:pStyle w:val="TITLE2"/>
              <w:tabs>
                <w:tab w:val="clear" w:pos="9498"/>
                <w:tab w:val="left" w:pos="2820"/>
              </w:tabs>
              <w:spacing w:before="0" w:after="0" w:line="240" w:lineRule="auto"/>
              <w:jc w:val="center"/>
              <w:rPr>
                <w:rFonts w:ascii="Times New Roman" w:hAnsi="Times New Roman" w:cs="Times New Roman"/>
                <w:sz w:val="22"/>
                <w:szCs w:val="22"/>
                <w:lang w:val="it-IT"/>
              </w:rPr>
            </w:pPr>
            <w:r w:rsidRPr="00F71899">
              <w:rPr>
                <w:rFonts w:ascii="Times New Roman" w:hAnsi="Times New Roman" w:cs="Times New Roman"/>
                <w:sz w:val="22"/>
                <w:szCs w:val="22"/>
                <w:lang w:val="it-IT"/>
              </w:rPr>
              <w:t>Ir-LSM50</w:t>
            </w:r>
          </w:p>
        </w:tc>
        <w:tc>
          <w:tcPr>
            <w:tcW w:w="2430" w:type="dxa"/>
            <w:shd w:val="clear" w:color="auto" w:fill="auto"/>
          </w:tcPr>
          <w:p w14:paraId="5160C212" w14:textId="2E2EBE4C" w:rsidR="004956F5" w:rsidRPr="00F71899" w:rsidRDefault="004956F5" w:rsidP="006012D2">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it-IT"/>
              </w:rPr>
            </w:pPr>
            <w:r w:rsidRPr="00F71899">
              <w:rPr>
                <w:rFonts w:ascii="Times New Roman" w:hAnsi="Times New Roman" w:cs="Times New Roman"/>
                <w:b w:val="0"/>
                <w:bCs/>
                <w:sz w:val="22"/>
                <w:szCs w:val="22"/>
                <w:lang w:val="it-IT"/>
              </w:rPr>
              <w:t>2wt%Ir/La</w:t>
            </w:r>
            <w:r w:rsidRPr="00F71899">
              <w:rPr>
                <w:rFonts w:ascii="Times New Roman" w:hAnsi="Times New Roman" w:cs="Times New Roman"/>
                <w:b w:val="0"/>
                <w:bCs/>
                <w:sz w:val="22"/>
                <w:szCs w:val="22"/>
                <w:vertAlign w:val="subscript"/>
                <w:lang w:val="it-IT"/>
              </w:rPr>
              <w:t>0.5</w:t>
            </w:r>
            <w:r w:rsidRPr="00F71899">
              <w:rPr>
                <w:rFonts w:ascii="Times New Roman" w:hAnsi="Times New Roman" w:cs="Times New Roman"/>
                <w:b w:val="0"/>
                <w:bCs/>
                <w:sz w:val="22"/>
                <w:szCs w:val="22"/>
                <w:lang w:val="it-IT"/>
              </w:rPr>
              <w:t>Sr</w:t>
            </w:r>
            <w:r w:rsidRPr="00F71899">
              <w:rPr>
                <w:rFonts w:ascii="Times New Roman" w:hAnsi="Times New Roman" w:cs="Times New Roman"/>
                <w:b w:val="0"/>
                <w:bCs/>
                <w:sz w:val="22"/>
                <w:szCs w:val="22"/>
                <w:vertAlign w:val="subscript"/>
                <w:lang w:val="it-IT"/>
              </w:rPr>
              <w:t>0.5</w:t>
            </w:r>
            <w:r w:rsidRPr="00F71899">
              <w:rPr>
                <w:rFonts w:ascii="Times New Roman" w:hAnsi="Times New Roman" w:cs="Times New Roman"/>
                <w:b w:val="0"/>
                <w:bCs/>
                <w:sz w:val="22"/>
                <w:szCs w:val="22"/>
                <w:lang w:val="it-IT"/>
              </w:rPr>
              <w:t>MnO</w:t>
            </w:r>
            <w:r w:rsidRPr="00F71899">
              <w:rPr>
                <w:rFonts w:ascii="Times New Roman" w:hAnsi="Times New Roman" w:cs="Times New Roman"/>
                <w:b w:val="0"/>
                <w:bCs/>
                <w:sz w:val="22"/>
                <w:szCs w:val="22"/>
                <w:vertAlign w:val="subscript"/>
                <w:lang w:val="it-IT"/>
              </w:rPr>
              <w:t>3</w:t>
            </w:r>
          </w:p>
        </w:tc>
        <w:tc>
          <w:tcPr>
            <w:tcW w:w="900" w:type="dxa"/>
            <w:shd w:val="clear" w:color="auto" w:fill="auto"/>
          </w:tcPr>
          <w:p w14:paraId="0801FBBE" w14:textId="4F7F68DC" w:rsidR="004956F5" w:rsidRPr="00F71899" w:rsidRDefault="004956F5" w:rsidP="00657570">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6.</w:t>
            </w:r>
            <w:r w:rsidR="00657570" w:rsidRPr="00F71899">
              <w:rPr>
                <w:rFonts w:ascii="Times New Roman" w:hAnsi="Times New Roman" w:cs="Times New Roman"/>
                <w:b w:val="0"/>
                <w:bCs/>
                <w:sz w:val="22"/>
                <w:szCs w:val="22"/>
                <w:lang w:val="it-IT"/>
              </w:rPr>
              <w:t>2</w:t>
            </w:r>
          </w:p>
        </w:tc>
        <w:tc>
          <w:tcPr>
            <w:tcW w:w="1170" w:type="dxa"/>
            <w:shd w:val="clear" w:color="auto" w:fill="auto"/>
          </w:tcPr>
          <w:p w14:paraId="4F235B46" w14:textId="6C0ECA20" w:rsidR="004956F5" w:rsidRPr="00F71899" w:rsidRDefault="004956F5" w:rsidP="006012D2">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color w:val="000000" w:themeColor="text1"/>
                <w:sz w:val="22"/>
                <w:szCs w:val="22"/>
              </w:rPr>
              <w:t>8.11</w:t>
            </w:r>
          </w:p>
        </w:tc>
        <w:tc>
          <w:tcPr>
            <w:tcW w:w="1440" w:type="dxa"/>
            <w:shd w:val="clear" w:color="auto" w:fill="auto"/>
          </w:tcPr>
          <w:p w14:paraId="4ADA45B3" w14:textId="6248EB18" w:rsidR="004956F5" w:rsidRPr="00F71899" w:rsidRDefault="00E12197" w:rsidP="006012D2">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it-IT"/>
              </w:rPr>
            </w:pPr>
            <w:r>
              <w:rPr>
                <w:rFonts w:ascii="Times New Roman" w:hAnsi="Times New Roman" w:cs="Times New Roman"/>
                <w:b w:val="0"/>
                <w:bCs/>
                <w:sz w:val="22"/>
                <w:szCs w:val="22"/>
                <w:lang w:val="it-IT"/>
              </w:rPr>
              <w:t>1203</w:t>
            </w:r>
          </w:p>
        </w:tc>
        <w:tc>
          <w:tcPr>
            <w:tcW w:w="1350" w:type="dxa"/>
            <w:shd w:val="clear" w:color="auto" w:fill="auto"/>
          </w:tcPr>
          <w:p w14:paraId="1A716F90" w14:textId="53EFA2C2" w:rsidR="004956F5" w:rsidRPr="00F71899" w:rsidRDefault="004956F5" w:rsidP="001A4B1E">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2"/>
                <w:szCs w:val="22"/>
                <w:lang w:val="el-GR"/>
              </w:rPr>
            </w:pPr>
            <w:r w:rsidRPr="00F71899">
              <w:rPr>
                <w:rFonts w:ascii="Times New Roman" w:hAnsi="Times New Roman" w:cs="Times New Roman"/>
                <w:b w:val="0"/>
                <w:sz w:val="22"/>
                <w:szCs w:val="22"/>
                <w:lang w:val="it-IT"/>
              </w:rPr>
              <w:t>1.</w:t>
            </w:r>
            <w:r w:rsidR="001A4B1E" w:rsidRPr="00F71899">
              <w:rPr>
                <w:rFonts w:ascii="Times New Roman" w:hAnsi="Times New Roman" w:cs="Times New Roman"/>
                <w:b w:val="0"/>
                <w:sz w:val="22"/>
                <w:szCs w:val="22"/>
                <w:lang w:val="el-GR"/>
              </w:rPr>
              <w:t>0</w:t>
            </w:r>
          </w:p>
        </w:tc>
        <w:tc>
          <w:tcPr>
            <w:tcW w:w="1260" w:type="dxa"/>
            <w:shd w:val="clear" w:color="auto" w:fill="auto"/>
          </w:tcPr>
          <w:p w14:paraId="3DA3B574" w14:textId="7E861D45" w:rsidR="004956F5" w:rsidRPr="00F71899" w:rsidRDefault="001A4B1E" w:rsidP="006012D2">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2"/>
                <w:szCs w:val="22"/>
                <w:lang w:val="el-GR"/>
              </w:rPr>
            </w:pPr>
            <w:r w:rsidRPr="00F71899">
              <w:rPr>
                <w:rFonts w:ascii="Times New Roman" w:hAnsi="Times New Roman" w:cs="Times New Roman"/>
                <w:b w:val="0"/>
                <w:bCs/>
                <w:sz w:val="22"/>
                <w:szCs w:val="22"/>
                <w:lang w:val="el-GR"/>
              </w:rPr>
              <w:t>73</w:t>
            </w:r>
          </w:p>
        </w:tc>
      </w:tr>
      <w:tr w:rsidR="004956F5" w:rsidRPr="00F71899" w14:paraId="46FCE7B9" w14:textId="77777777" w:rsidTr="00371F71">
        <w:trPr>
          <w:trHeight w:val="185"/>
        </w:trPr>
        <w:tc>
          <w:tcPr>
            <w:cnfStyle w:val="001000000000" w:firstRow="0" w:lastRow="0" w:firstColumn="1" w:lastColumn="0" w:oddVBand="0" w:evenVBand="0" w:oddHBand="0" w:evenHBand="0" w:firstRowFirstColumn="0" w:firstRowLastColumn="0" w:lastRowFirstColumn="0" w:lastRowLastColumn="0"/>
            <w:tcW w:w="1188" w:type="dxa"/>
          </w:tcPr>
          <w:p w14:paraId="121FFC18" w14:textId="77777777" w:rsidR="004956F5" w:rsidRPr="00F71899" w:rsidRDefault="004956F5" w:rsidP="006012D2">
            <w:pPr>
              <w:pStyle w:val="TITLE2"/>
              <w:tabs>
                <w:tab w:val="clear" w:pos="9498"/>
                <w:tab w:val="left" w:pos="2820"/>
              </w:tabs>
              <w:spacing w:before="0" w:after="0" w:line="240" w:lineRule="auto"/>
              <w:jc w:val="center"/>
              <w:rPr>
                <w:rFonts w:ascii="Times New Roman" w:hAnsi="Times New Roman" w:cs="Times New Roman"/>
                <w:sz w:val="22"/>
                <w:szCs w:val="22"/>
                <w:lang w:val="it-IT"/>
              </w:rPr>
            </w:pPr>
            <w:r w:rsidRPr="00F71899">
              <w:rPr>
                <w:rFonts w:ascii="Times New Roman" w:hAnsi="Times New Roman" w:cs="Times New Roman"/>
                <w:sz w:val="22"/>
                <w:szCs w:val="22"/>
                <w:lang w:val="it-IT"/>
              </w:rPr>
              <w:t>Ir-LSM70</w:t>
            </w:r>
          </w:p>
        </w:tc>
        <w:tc>
          <w:tcPr>
            <w:tcW w:w="2430" w:type="dxa"/>
          </w:tcPr>
          <w:p w14:paraId="7016E1C8" w14:textId="1D83EDB7" w:rsidR="004956F5" w:rsidRPr="00F71899" w:rsidRDefault="004956F5" w:rsidP="006012D2">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t-IT"/>
              </w:rPr>
            </w:pPr>
            <w:r w:rsidRPr="00F71899">
              <w:rPr>
                <w:rFonts w:ascii="Times New Roman" w:hAnsi="Times New Roman" w:cs="Times New Roman"/>
                <w:b w:val="0"/>
                <w:bCs/>
                <w:sz w:val="22"/>
                <w:szCs w:val="22"/>
                <w:lang w:val="it-IT"/>
              </w:rPr>
              <w:t>2wt%Ir/La</w:t>
            </w:r>
            <w:r w:rsidRPr="00F71899">
              <w:rPr>
                <w:rFonts w:ascii="Times New Roman" w:hAnsi="Times New Roman" w:cs="Times New Roman"/>
                <w:b w:val="0"/>
                <w:bCs/>
                <w:sz w:val="22"/>
                <w:szCs w:val="22"/>
                <w:vertAlign w:val="subscript"/>
                <w:lang w:val="it-IT"/>
              </w:rPr>
              <w:t>0.3</w:t>
            </w:r>
            <w:r w:rsidRPr="00F71899">
              <w:rPr>
                <w:rFonts w:ascii="Times New Roman" w:hAnsi="Times New Roman" w:cs="Times New Roman"/>
                <w:b w:val="0"/>
                <w:bCs/>
                <w:sz w:val="22"/>
                <w:szCs w:val="22"/>
                <w:lang w:val="it-IT"/>
              </w:rPr>
              <w:t>Sr</w:t>
            </w:r>
            <w:r w:rsidRPr="00F71899">
              <w:rPr>
                <w:rFonts w:ascii="Times New Roman" w:hAnsi="Times New Roman" w:cs="Times New Roman"/>
                <w:b w:val="0"/>
                <w:bCs/>
                <w:sz w:val="22"/>
                <w:szCs w:val="22"/>
                <w:vertAlign w:val="subscript"/>
                <w:lang w:val="it-IT"/>
              </w:rPr>
              <w:t>0.7</w:t>
            </w:r>
            <w:r w:rsidRPr="00F71899">
              <w:rPr>
                <w:rFonts w:ascii="Times New Roman" w:hAnsi="Times New Roman" w:cs="Times New Roman"/>
                <w:b w:val="0"/>
                <w:bCs/>
                <w:sz w:val="22"/>
                <w:szCs w:val="22"/>
                <w:lang w:val="it-IT"/>
              </w:rPr>
              <w:t>MnO</w:t>
            </w:r>
            <w:r w:rsidRPr="00F71899">
              <w:rPr>
                <w:rFonts w:ascii="Times New Roman" w:hAnsi="Times New Roman" w:cs="Times New Roman"/>
                <w:b w:val="0"/>
                <w:bCs/>
                <w:sz w:val="22"/>
                <w:szCs w:val="22"/>
                <w:vertAlign w:val="subscript"/>
                <w:lang w:val="it-IT"/>
              </w:rPr>
              <w:t>3</w:t>
            </w:r>
          </w:p>
        </w:tc>
        <w:tc>
          <w:tcPr>
            <w:tcW w:w="900" w:type="dxa"/>
          </w:tcPr>
          <w:p w14:paraId="38E0B748" w14:textId="477634EF" w:rsidR="004956F5" w:rsidRPr="00F71899" w:rsidRDefault="004956F5" w:rsidP="006012D2">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sz w:val="22"/>
                <w:szCs w:val="22"/>
                <w:lang w:val="it-IT"/>
              </w:rPr>
              <w:t>11.0</w:t>
            </w:r>
          </w:p>
        </w:tc>
        <w:tc>
          <w:tcPr>
            <w:tcW w:w="1170" w:type="dxa"/>
          </w:tcPr>
          <w:p w14:paraId="1FE4284A" w14:textId="0E6D1002" w:rsidR="004956F5" w:rsidRPr="00F71899" w:rsidRDefault="004956F5" w:rsidP="006012D2">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2"/>
                <w:szCs w:val="22"/>
                <w:lang w:val="it-IT"/>
              </w:rPr>
            </w:pPr>
            <w:r w:rsidRPr="00F71899">
              <w:rPr>
                <w:rFonts w:ascii="Times New Roman" w:hAnsi="Times New Roman" w:cs="Times New Roman"/>
                <w:b w:val="0"/>
                <w:bCs/>
                <w:color w:val="000000" w:themeColor="text1"/>
                <w:sz w:val="22"/>
                <w:szCs w:val="22"/>
              </w:rPr>
              <w:t>13.7</w:t>
            </w:r>
          </w:p>
        </w:tc>
        <w:tc>
          <w:tcPr>
            <w:tcW w:w="1440" w:type="dxa"/>
          </w:tcPr>
          <w:p w14:paraId="40376D6B" w14:textId="379BE30D" w:rsidR="004956F5" w:rsidRPr="00F71899" w:rsidRDefault="00E12197" w:rsidP="006012D2">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t-IT"/>
              </w:rPr>
            </w:pPr>
            <w:r>
              <w:rPr>
                <w:rFonts w:ascii="Times New Roman" w:hAnsi="Times New Roman" w:cs="Times New Roman"/>
                <w:b w:val="0"/>
                <w:bCs/>
                <w:sz w:val="22"/>
                <w:szCs w:val="22"/>
                <w:lang w:val="it-IT"/>
              </w:rPr>
              <w:t>1348</w:t>
            </w:r>
          </w:p>
        </w:tc>
        <w:tc>
          <w:tcPr>
            <w:tcW w:w="1350" w:type="dxa"/>
          </w:tcPr>
          <w:p w14:paraId="0EEA5E47" w14:textId="61BFE73C" w:rsidR="004956F5" w:rsidRPr="00F71899" w:rsidRDefault="004956F5" w:rsidP="001A4B1E">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2"/>
                <w:szCs w:val="22"/>
                <w:lang w:val="el-GR"/>
              </w:rPr>
            </w:pPr>
            <w:r w:rsidRPr="00F71899">
              <w:rPr>
                <w:rFonts w:ascii="Times New Roman" w:hAnsi="Times New Roman" w:cs="Times New Roman"/>
                <w:b w:val="0"/>
                <w:sz w:val="22"/>
                <w:szCs w:val="22"/>
                <w:lang w:val="it-IT"/>
              </w:rPr>
              <w:t>1.</w:t>
            </w:r>
            <w:r w:rsidR="001A4B1E" w:rsidRPr="00F71899">
              <w:rPr>
                <w:rFonts w:ascii="Times New Roman" w:hAnsi="Times New Roman" w:cs="Times New Roman"/>
                <w:b w:val="0"/>
                <w:sz w:val="22"/>
                <w:szCs w:val="22"/>
                <w:lang w:val="el-GR"/>
              </w:rPr>
              <w:t>2</w:t>
            </w:r>
          </w:p>
        </w:tc>
        <w:tc>
          <w:tcPr>
            <w:tcW w:w="1260" w:type="dxa"/>
          </w:tcPr>
          <w:p w14:paraId="3D25D15C" w14:textId="67B732C3" w:rsidR="004956F5" w:rsidRPr="00F71899" w:rsidRDefault="001A4B1E" w:rsidP="006012D2">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2"/>
                <w:szCs w:val="22"/>
                <w:lang w:val="el-GR"/>
              </w:rPr>
            </w:pPr>
            <w:r w:rsidRPr="00F71899">
              <w:rPr>
                <w:rFonts w:ascii="Times New Roman" w:hAnsi="Times New Roman" w:cs="Times New Roman"/>
                <w:b w:val="0"/>
                <w:bCs/>
                <w:sz w:val="22"/>
                <w:szCs w:val="22"/>
                <w:lang w:val="el-GR"/>
              </w:rPr>
              <w:t>61</w:t>
            </w:r>
          </w:p>
        </w:tc>
      </w:tr>
    </w:tbl>
    <w:p w14:paraId="1A2F929A" w14:textId="489F4D95" w:rsidR="00B76FBB" w:rsidRPr="009D5EA7" w:rsidRDefault="009D5EA7" w:rsidP="005F3DCE">
      <w:pPr>
        <w:pStyle w:val="S09PARAGRAFISUCESSIVI"/>
        <w:spacing w:after="180"/>
        <w:ind w:firstLine="0"/>
        <w:rPr>
          <w:color w:val="000000"/>
          <w:lang w:val="en-US"/>
        </w:rPr>
      </w:pPr>
      <w:r w:rsidRPr="001A4B1E">
        <w:rPr>
          <w:color w:val="000000"/>
          <w:lang w:val="en-US"/>
        </w:rPr>
        <w:t>*</w:t>
      </w:r>
      <w:r w:rsidRPr="00F71899">
        <w:rPr>
          <w:i/>
          <w:color w:val="000000"/>
          <w:sz w:val="18"/>
          <w:szCs w:val="18"/>
          <w:lang w:val="en-US"/>
        </w:rPr>
        <w:t>Estimated by means of H</w:t>
      </w:r>
      <w:r w:rsidRPr="00F71899">
        <w:rPr>
          <w:i/>
          <w:color w:val="000000"/>
          <w:sz w:val="18"/>
          <w:szCs w:val="18"/>
          <w:vertAlign w:val="subscript"/>
          <w:lang w:val="en-US"/>
        </w:rPr>
        <w:t>2</w:t>
      </w:r>
      <w:r w:rsidRPr="00F71899">
        <w:rPr>
          <w:i/>
          <w:color w:val="000000"/>
          <w:sz w:val="18"/>
          <w:szCs w:val="18"/>
          <w:lang w:val="en-US"/>
        </w:rPr>
        <w:t>-uptake values obtained in H</w:t>
      </w:r>
      <w:r w:rsidRPr="00F71899">
        <w:rPr>
          <w:i/>
          <w:color w:val="000000"/>
          <w:sz w:val="18"/>
          <w:szCs w:val="18"/>
          <w:vertAlign w:val="subscript"/>
          <w:lang w:val="en-US"/>
        </w:rPr>
        <w:t>2</w:t>
      </w:r>
      <w:r w:rsidRPr="00F71899">
        <w:rPr>
          <w:i/>
          <w:color w:val="000000"/>
          <w:sz w:val="18"/>
          <w:szCs w:val="18"/>
          <w:lang w:val="en-US"/>
        </w:rPr>
        <w:t xml:space="preserve">-chemisorption experiments and </w:t>
      </w:r>
      <w:r w:rsidR="001A4B1E" w:rsidRPr="00F71899">
        <w:rPr>
          <w:i/>
          <w:color w:val="000000"/>
          <w:sz w:val="18"/>
          <w:szCs w:val="18"/>
          <w:lang w:val="en-US"/>
        </w:rPr>
        <w:t>assuming</w:t>
      </w:r>
      <w:r w:rsidRPr="00F71899">
        <w:rPr>
          <w:i/>
          <w:color w:val="000000"/>
          <w:sz w:val="18"/>
          <w:szCs w:val="18"/>
          <w:lang w:val="en-US"/>
        </w:rPr>
        <w:t xml:space="preserve"> one-to-one H-to-</w:t>
      </w:r>
      <w:proofErr w:type="spellStart"/>
      <w:r w:rsidRPr="00F71899">
        <w:rPr>
          <w:i/>
          <w:color w:val="000000"/>
          <w:sz w:val="18"/>
          <w:szCs w:val="18"/>
          <w:lang w:val="en-US"/>
        </w:rPr>
        <w:t>Ir</w:t>
      </w:r>
      <w:proofErr w:type="spellEnd"/>
      <w:r w:rsidRPr="00F71899">
        <w:rPr>
          <w:i/>
          <w:color w:val="000000"/>
          <w:sz w:val="18"/>
          <w:szCs w:val="18"/>
          <w:lang w:val="en-US"/>
        </w:rPr>
        <w:t xml:space="preserve"> </w:t>
      </w:r>
      <w:r w:rsidR="001A4B1E" w:rsidRPr="00F71899">
        <w:rPr>
          <w:i/>
          <w:color w:val="000000"/>
          <w:sz w:val="18"/>
          <w:szCs w:val="18"/>
          <w:lang w:val="en-US"/>
        </w:rPr>
        <w:t>correlation</w:t>
      </w:r>
      <w:r w:rsidRPr="00F71899">
        <w:rPr>
          <w:i/>
          <w:color w:val="000000"/>
          <w:sz w:val="18"/>
          <w:szCs w:val="18"/>
          <w:lang w:val="en-US"/>
        </w:rPr>
        <w:t xml:space="preserve"> (</w:t>
      </w:r>
      <w:r w:rsidR="00010EBC" w:rsidRPr="00F71899">
        <w:rPr>
          <w:i/>
          <w:color w:val="000000"/>
          <w:sz w:val="18"/>
          <w:szCs w:val="18"/>
          <w:lang w:val="en-US"/>
        </w:rPr>
        <w:t xml:space="preserve">i.e. </w:t>
      </w:r>
      <w:r w:rsidRPr="00F71899">
        <w:rPr>
          <w:i/>
          <w:color w:val="000000"/>
          <w:sz w:val="18"/>
          <w:szCs w:val="18"/>
          <w:lang w:val="en-US"/>
        </w:rPr>
        <w:t>dissociative H</w:t>
      </w:r>
      <w:r w:rsidRPr="00F71899">
        <w:rPr>
          <w:i/>
          <w:color w:val="000000"/>
          <w:sz w:val="18"/>
          <w:szCs w:val="18"/>
          <w:vertAlign w:val="subscript"/>
          <w:lang w:val="en-US"/>
        </w:rPr>
        <w:t>2</w:t>
      </w:r>
      <w:r w:rsidRPr="00F71899">
        <w:rPr>
          <w:i/>
          <w:color w:val="000000"/>
          <w:sz w:val="18"/>
          <w:szCs w:val="18"/>
          <w:lang w:val="en-US"/>
        </w:rPr>
        <w:t xml:space="preserve"> chemisorption).</w:t>
      </w:r>
      <w:r w:rsidRPr="009D5EA7">
        <w:rPr>
          <w:color w:val="000000"/>
          <w:lang w:val="en-US"/>
        </w:rPr>
        <w:t xml:space="preserve">  </w:t>
      </w:r>
    </w:p>
    <w:p w14:paraId="38D987CA" w14:textId="4AFF50AB" w:rsidR="005F3DCE" w:rsidRDefault="005F3DCE" w:rsidP="00010EBC">
      <w:pPr>
        <w:pStyle w:val="S09PARAGRAFISUCESSIVI"/>
        <w:spacing w:after="120" w:line="240" w:lineRule="auto"/>
        <w:ind w:firstLine="0"/>
        <w:rPr>
          <w:b/>
          <w:color w:val="000000"/>
        </w:rPr>
      </w:pPr>
      <w:r w:rsidRPr="007A3851">
        <w:rPr>
          <w:b/>
          <w:color w:val="000000"/>
        </w:rPr>
        <w:t>2.</w:t>
      </w:r>
      <w:r>
        <w:rPr>
          <w:b/>
          <w:color w:val="000000"/>
        </w:rPr>
        <w:t>2</w:t>
      </w:r>
      <w:r w:rsidR="00657570">
        <w:rPr>
          <w:b/>
          <w:color w:val="000000"/>
        </w:rPr>
        <w:t>.</w:t>
      </w:r>
      <w:r>
        <w:rPr>
          <w:b/>
          <w:color w:val="000000"/>
        </w:rPr>
        <w:t xml:space="preserve"> </w:t>
      </w:r>
      <w:r w:rsidR="00657570">
        <w:rPr>
          <w:b/>
          <w:color w:val="000000"/>
        </w:rPr>
        <w:t>Activity</w:t>
      </w:r>
      <w:r>
        <w:rPr>
          <w:b/>
          <w:color w:val="000000"/>
        </w:rPr>
        <w:t xml:space="preserve"> and stability experiments</w:t>
      </w:r>
    </w:p>
    <w:p w14:paraId="672DC913" w14:textId="61236087" w:rsidR="00031195" w:rsidRPr="00990858" w:rsidRDefault="00990858" w:rsidP="00F807BC">
      <w:pPr>
        <w:pStyle w:val="S09PARAGRAFISUCESSIVI"/>
        <w:spacing w:line="240" w:lineRule="auto"/>
        <w:ind w:firstLine="0"/>
      </w:pPr>
      <w:r w:rsidRPr="00990858">
        <w:t xml:space="preserve">Catalytic performance and thermal stability experiments were carried out in a quartz </w:t>
      </w:r>
      <w:r w:rsidR="009267D4">
        <w:t xml:space="preserve">tubular </w:t>
      </w:r>
      <w:r w:rsidRPr="00990858">
        <w:t>fixed</w:t>
      </w:r>
      <w:r w:rsidR="001A4B1E">
        <w:t>-bed reactor, with a 3.0 mm</w:t>
      </w:r>
      <w:r w:rsidRPr="00990858">
        <w:t xml:space="preserve"> inner diameter. Catalyst loading was </w:t>
      </w:r>
      <w:r>
        <w:t>2</w:t>
      </w:r>
      <w:r w:rsidRPr="00990858">
        <w:t>0 mg and the total gas flow</w:t>
      </w:r>
      <w:r w:rsidR="009267D4">
        <w:t xml:space="preserve"> rate</w:t>
      </w:r>
      <w:r w:rsidRPr="00990858">
        <w:t xml:space="preserve"> was 160 </w:t>
      </w:r>
      <w:r w:rsidR="00C420BA">
        <w:t>mL</w:t>
      </w:r>
      <w:r w:rsidRPr="00990858">
        <w:t>/min (</w:t>
      </w:r>
      <w:proofErr w:type="spellStart"/>
      <w:r w:rsidRPr="00990858">
        <w:t>wGHSV</w:t>
      </w:r>
      <w:proofErr w:type="spellEnd"/>
      <w:r w:rsidRPr="00990858">
        <w:t>=</w:t>
      </w:r>
      <w:r>
        <w:t>480</w:t>
      </w:r>
      <w:r w:rsidR="009267D4">
        <w:t>,000 mL/</w:t>
      </w:r>
      <w:proofErr w:type="spellStart"/>
      <w:r w:rsidRPr="00990858">
        <w:t>g∙h</w:t>
      </w:r>
      <w:proofErr w:type="spellEnd"/>
      <w:r w:rsidRPr="00990858">
        <w:t>). CO oxidation was studied under O</w:t>
      </w:r>
      <w:r w:rsidRPr="00990858">
        <w:rPr>
          <w:vertAlign w:val="subscript"/>
        </w:rPr>
        <w:t>2</w:t>
      </w:r>
      <w:r w:rsidR="009267D4">
        <w:t xml:space="preserve"> excess conditions, using a </w:t>
      </w:r>
      <w:r w:rsidRPr="00990858">
        <w:t xml:space="preserve">gas </w:t>
      </w:r>
      <w:r w:rsidR="009267D4">
        <w:t>feed</w:t>
      </w:r>
      <w:r w:rsidRPr="00990858">
        <w:t xml:space="preserve"> </w:t>
      </w:r>
      <w:r w:rsidR="001A4B1E">
        <w:t xml:space="preserve">v/v% </w:t>
      </w:r>
      <w:r w:rsidRPr="00990858">
        <w:t xml:space="preserve">composition </w:t>
      </w:r>
      <w:r w:rsidR="009267D4">
        <w:t>of</w:t>
      </w:r>
      <w:r w:rsidR="001A4B1E">
        <w:t xml:space="preserve"> 1% CO, 5</w:t>
      </w:r>
      <w:r w:rsidRPr="00990858">
        <w:t>% O</w:t>
      </w:r>
      <w:r w:rsidRPr="00990858">
        <w:rPr>
          <w:vertAlign w:val="subscript"/>
        </w:rPr>
        <w:t>2</w:t>
      </w:r>
      <w:r w:rsidR="009267D4">
        <w:t xml:space="preserve">, </w:t>
      </w:r>
      <w:r w:rsidR="001A4B1E">
        <w:t xml:space="preserve">He </w:t>
      </w:r>
      <w:r w:rsidRPr="00990858">
        <w:t xml:space="preserve">balance </w:t>
      </w:r>
      <w:r w:rsidR="009267D4">
        <w:t>at 1 bar</w:t>
      </w:r>
      <w:r w:rsidRPr="00990858">
        <w:t xml:space="preserve">. </w:t>
      </w:r>
      <w:r w:rsidR="009267D4">
        <w:t>All c</w:t>
      </w:r>
      <w:r w:rsidRPr="00990858">
        <w:t xml:space="preserve">atalysts were studied </w:t>
      </w:r>
      <w:r w:rsidR="009267D4">
        <w:t xml:space="preserve">after exposing them at </w:t>
      </w:r>
      <w:r w:rsidRPr="00990858">
        <w:t xml:space="preserve">two different pre-treatment </w:t>
      </w:r>
      <w:r w:rsidR="009267D4">
        <w:t>conditions</w:t>
      </w:r>
      <w:r w:rsidRPr="00990858">
        <w:t>: (a) pre-reduc</w:t>
      </w:r>
      <w:r w:rsidR="009267D4">
        <w:t xml:space="preserve">ed catalysts </w:t>
      </w:r>
      <w:r w:rsidR="00F8234C">
        <w:t>in</w:t>
      </w:r>
      <w:r w:rsidR="009267D4">
        <w:t xml:space="preserve"> a </w:t>
      </w:r>
      <w:r w:rsidR="001A4B1E">
        <w:t>25</w:t>
      </w:r>
      <w:r w:rsidRPr="00990858">
        <w:t>% H</w:t>
      </w:r>
      <w:r w:rsidRPr="00F94F58">
        <w:rPr>
          <w:vertAlign w:val="subscript"/>
        </w:rPr>
        <w:t>2</w:t>
      </w:r>
      <w:r w:rsidR="009267D4">
        <w:t xml:space="preserve">/He flow </w:t>
      </w:r>
      <w:r w:rsidR="00F8234C" w:rsidRPr="00F8234C">
        <w:rPr>
          <w:lang w:val="it-IT"/>
        </w:rPr>
        <w:t>(</w:t>
      </w:r>
      <w:r w:rsidR="00F8234C">
        <w:rPr>
          <w:lang w:val="it-IT"/>
        </w:rPr>
        <w:t>50</w:t>
      </w:r>
      <w:r w:rsidR="00F8234C" w:rsidRPr="00F8234C">
        <w:rPr>
          <w:lang w:val="it-IT"/>
        </w:rPr>
        <w:t xml:space="preserve"> mL/min)</w:t>
      </w:r>
      <w:r w:rsidR="00F8234C">
        <w:rPr>
          <w:lang w:val="it-IT"/>
        </w:rPr>
        <w:t xml:space="preserve"> </w:t>
      </w:r>
      <w:r w:rsidRPr="00990858">
        <w:t xml:space="preserve">at </w:t>
      </w:r>
      <w:r>
        <w:t>40</w:t>
      </w:r>
      <w:r w:rsidRPr="00990858">
        <w:t>0</w:t>
      </w:r>
      <w:r w:rsidRPr="00990858">
        <w:rPr>
          <w:vertAlign w:val="superscript"/>
        </w:rPr>
        <w:t>o</w:t>
      </w:r>
      <w:r w:rsidRPr="00990858">
        <w:t xml:space="preserve">C for </w:t>
      </w:r>
      <w:r>
        <w:t>1 h</w:t>
      </w:r>
      <w:r w:rsidR="00F8234C">
        <w:t>,</w:t>
      </w:r>
      <w:r w:rsidRPr="00990858">
        <w:t xml:space="preserve"> and (b) pre-oxid</w:t>
      </w:r>
      <w:r w:rsidR="00F8234C">
        <w:t>ized catalysts</w:t>
      </w:r>
      <w:r w:rsidRPr="00990858">
        <w:t xml:space="preserve"> </w:t>
      </w:r>
      <w:r w:rsidR="00F8234C">
        <w:t>in a</w:t>
      </w:r>
      <w:r w:rsidR="001A4B1E">
        <w:t xml:space="preserve"> 20</w:t>
      </w:r>
      <w:r w:rsidRPr="00990858">
        <w:t xml:space="preserve">% </w:t>
      </w:r>
      <w:r w:rsidRPr="00F8234C">
        <w:t>O</w:t>
      </w:r>
      <w:r w:rsidR="00F8234C" w:rsidRPr="00F8234C">
        <w:rPr>
          <w:vertAlign w:val="subscript"/>
        </w:rPr>
        <w:t>2</w:t>
      </w:r>
      <w:r w:rsidR="00F8234C">
        <w:t xml:space="preserve">/He </w:t>
      </w:r>
      <w:r w:rsidRPr="00F8234C">
        <w:t>flow</w:t>
      </w:r>
      <w:r w:rsidR="00F8234C">
        <w:t xml:space="preserve"> </w:t>
      </w:r>
      <w:r w:rsidR="00F8234C">
        <w:rPr>
          <w:lang w:val="it-IT"/>
        </w:rPr>
        <w:t>(50</w:t>
      </w:r>
      <w:r w:rsidR="00F8234C" w:rsidRPr="00F8234C">
        <w:rPr>
          <w:lang w:val="it-IT"/>
        </w:rPr>
        <w:t xml:space="preserve"> mL</w:t>
      </w:r>
      <w:r w:rsidR="00F8234C">
        <w:rPr>
          <w:lang w:val="it-IT"/>
        </w:rPr>
        <w:t>/min)</w:t>
      </w:r>
      <w:r w:rsidR="00F8234C" w:rsidRPr="00F8234C">
        <w:rPr>
          <w:lang w:val="it-IT"/>
        </w:rPr>
        <w:t xml:space="preserve"> </w:t>
      </w:r>
      <w:r w:rsidRPr="00604738">
        <w:rPr>
          <w:lang w:val="en-US"/>
        </w:rPr>
        <w:t xml:space="preserve">at </w:t>
      </w:r>
      <w:r w:rsidRPr="00990858">
        <w:t>400</w:t>
      </w:r>
      <w:r w:rsidRPr="00990858">
        <w:rPr>
          <w:vertAlign w:val="superscript"/>
        </w:rPr>
        <w:t>o</w:t>
      </w:r>
      <w:r w:rsidRPr="00990858">
        <w:t>C for 1h</w:t>
      </w:r>
      <w:r w:rsidR="00F8234C">
        <w:t>.</w:t>
      </w:r>
      <w:r w:rsidRPr="00990858">
        <w:t xml:space="preserve"> </w:t>
      </w:r>
      <w:r w:rsidR="00031195">
        <w:t xml:space="preserve">Typical catalytic experiments were conducted in the form of light-off diagrams, i.e. CO conversion vs temperature in the range of </w:t>
      </w:r>
      <w:r w:rsidR="00031195" w:rsidRPr="00990858">
        <w:t>50-400</w:t>
      </w:r>
      <w:r w:rsidR="00031195" w:rsidRPr="00990858">
        <w:rPr>
          <w:vertAlign w:val="superscript"/>
        </w:rPr>
        <w:t>o</w:t>
      </w:r>
      <w:r w:rsidR="00031195">
        <w:rPr>
          <w:vertAlign w:val="superscript"/>
        </w:rPr>
        <w:t xml:space="preserve"> </w:t>
      </w:r>
      <w:r w:rsidR="00031195" w:rsidRPr="00990858">
        <w:t>C.</w:t>
      </w:r>
    </w:p>
    <w:p w14:paraId="4140D7D4" w14:textId="48AF4415" w:rsidR="00031195" w:rsidRDefault="00F8234C" w:rsidP="00010EBC">
      <w:pPr>
        <w:pStyle w:val="S09PARAGRAFISUCESSIVI"/>
        <w:spacing w:line="240" w:lineRule="auto"/>
        <w:ind w:firstLine="288"/>
        <w:rPr>
          <w:lang w:val="it-IT"/>
        </w:rPr>
      </w:pPr>
      <w:r>
        <w:t xml:space="preserve">The </w:t>
      </w:r>
      <w:proofErr w:type="spellStart"/>
      <w:r>
        <w:t>Ir</w:t>
      </w:r>
      <w:proofErr w:type="spellEnd"/>
      <w:r>
        <w:t>/LSM catalysts vulnerability to</w:t>
      </w:r>
      <w:r w:rsidR="00990858" w:rsidRPr="00990858">
        <w:t xml:space="preserve"> sintering </w:t>
      </w:r>
      <w:r>
        <w:t>and the concomitant effects on CO oxidation activity were studied by applying sequential thermal aging steps</w:t>
      </w:r>
      <w:r w:rsidR="00990858" w:rsidRPr="00990858">
        <w:t>, w</w:t>
      </w:r>
      <w:r>
        <w:t>h</w:t>
      </w:r>
      <w:r w:rsidR="00990858" w:rsidRPr="00990858">
        <w:t xml:space="preserve">ere </w:t>
      </w:r>
      <w:r>
        <w:t xml:space="preserve">the samples were </w:t>
      </w:r>
      <w:r w:rsidR="00990858" w:rsidRPr="00990858">
        <w:t>subjected to the same aging protocol</w:t>
      </w:r>
      <w:r w:rsidR="00CE2578">
        <w:t xml:space="preserve"> as</w:t>
      </w:r>
      <w:r w:rsidR="00031195">
        <w:t xml:space="preserve"> follows</w:t>
      </w:r>
      <w:r w:rsidR="00990858" w:rsidRPr="00990858">
        <w:t xml:space="preserve">: </w:t>
      </w:r>
      <w:r w:rsidR="00CE2578">
        <w:t xml:space="preserve"> </w:t>
      </w:r>
      <w:r w:rsidR="00A03C37" w:rsidRPr="00A03C37">
        <w:t>(</w:t>
      </w:r>
      <w:proofErr w:type="spellStart"/>
      <w:r w:rsidR="00A03C37" w:rsidRPr="00A03C37">
        <w:t>i</w:t>
      </w:r>
      <w:proofErr w:type="spellEnd"/>
      <w:r w:rsidR="00A03C37" w:rsidRPr="00A03C37">
        <w:t>) an in</w:t>
      </w:r>
      <w:r w:rsidR="0066163E">
        <w:t xml:space="preserve"> situ oxidation for 5 h at 600°</w:t>
      </w:r>
      <w:r w:rsidR="00A03C37" w:rsidRPr="00A03C37">
        <w:t>C, followed by (ii) a in situ oxida</w:t>
      </w:r>
      <w:r w:rsidR="001A4B1E">
        <w:t xml:space="preserve">tion for 5 h at 750°C, using 20% </w:t>
      </w:r>
      <w:r w:rsidR="00A03C37" w:rsidRPr="00A03C37">
        <w:t>O</w:t>
      </w:r>
      <w:r w:rsidR="00A03C37" w:rsidRPr="0066163E">
        <w:rPr>
          <w:vertAlign w:val="subscript"/>
        </w:rPr>
        <w:t>2</w:t>
      </w:r>
      <w:r w:rsidR="00A03C37" w:rsidRPr="00A03C37">
        <w:t xml:space="preserve">/He flow (50 mL/min). </w:t>
      </w:r>
      <w:r w:rsidR="0066163E" w:rsidRPr="0066163E">
        <w:t>After each aging step, the catalysts were reduced rapidly (0.5 h</w:t>
      </w:r>
      <w:r w:rsidR="001A4B1E">
        <w:t xml:space="preserve"> at 25</w:t>
      </w:r>
      <w:r w:rsidR="0066163E" w:rsidRPr="0066163E">
        <w:t>% H</w:t>
      </w:r>
      <w:r w:rsidR="0066163E" w:rsidRPr="0066163E">
        <w:rPr>
          <w:vertAlign w:val="subscript"/>
        </w:rPr>
        <w:t>2</w:t>
      </w:r>
      <w:r w:rsidR="0066163E" w:rsidRPr="0066163E">
        <w:t xml:space="preserve">/He flow </w:t>
      </w:r>
      <w:r w:rsidR="0066163E">
        <w:rPr>
          <w:lang w:val="en-US"/>
        </w:rPr>
        <w:t xml:space="preserve">of </w:t>
      </w:r>
      <w:r w:rsidR="0066163E">
        <w:t>50 mL/</w:t>
      </w:r>
      <w:r w:rsidR="0066163E" w:rsidRPr="0066163E">
        <w:t xml:space="preserve">min) at the same temperature to test their activity at a constant temperature </w:t>
      </w:r>
      <w:r w:rsidR="0066163E" w:rsidRPr="0063463B">
        <w:t xml:space="preserve">of </w:t>
      </w:r>
      <w:r w:rsidR="0063463B" w:rsidRPr="0063463B">
        <w:t>35</w:t>
      </w:r>
      <w:r w:rsidR="0066163E" w:rsidRPr="0063463B">
        <w:t>0</w:t>
      </w:r>
      <w:r w:rsidR="0066163E" w:rsidRPr="0063463B">
        <w:rPr>
          <w:vertAlign w:val="superscript"/>
        </w:rPr>
        <w:t>o</w:t>
      </w:r>
      <w:r w:rsidR="0066163E" w:rsidRPr="0063463B">
        <w:t>C, and</w:t>
      </w:r>
      <w:r w:rsidR="0066163E" w:rsidRPr="0066163E">
        <w:t xml:space="preserve"> reaction conditions similar to those used in the othe</w:t>
      </w:r>
      <w:r w:rsidR="001A4B1E">
        <w:t>r kinetic experiments (i.e. 1</w:t>
      </w:r>
      <w:r w:rsidR="0066163E">
        <w:t>% CO, 5</w:t>
      </w:r>
      <w:r w:rsidR="001A4B1E" w:rsidRPr="0066163E">
        <w:t xml:space="preserve"> </w:t>
      </w:r>
      <w:r w:rsidR="0066163E" w:rsidRPr="0066163E">
        <w:t>% O</w:t>
      </w:r>
      <w:r w:rsidR="0066163E" w:rsidRPr="0066163E">
        <w:rPr>
          <w:vertAlign w:val="subscript"/>
        </w:rPr>
        <w:t>2</w:t>
      </w:r>
      <w:r w:rsidR="0066163E" w:rsidRPr="0066163E">
        <w:t xml:space="preserve">, </w:t>
      </w:r>
      <w:r w:rsidR="009D686F">
        <w:t>balance</w:t>
      </w:r>
      <w:r w:rsidR="0066163E" w:rsidRPr="0066163E">
        <w:t xml:space="preserve"> </w:t>
      </w:r>
      <w:r w:rsidR="009D686F">
        <w:t xml:space="preserve">He </w:t>
      </w:r>
      <w:r w:rsidR="0066163E" w:rsidRPr="0066163E">
        <w:t>at 1 bar).</w:t>
      </w:r>
    </w:p>
    <w:p w14:paraId="236FB274" w14:textId="3DCC0BDF" w:rsidR="00A03C37" w:rsidRDefault="009D686F" w:rsidP="005C2F7E">
      <w:pPr>
        <w:pStyle w:val="S09PARAGRAFISUCESSIVI"/>
        <w:spacing w:line="240" w:lineRule="auto"/>
        <w:rPr>
          <w:lang w:val="it-IT"/>
        </w:rPr>
      </w:pPr>
      <w:r>
        <w:rPr>
          <w:lang w:val="it-IT"/>
        </w:rPr>
        <w:t>The continious flow apparatu</w:t>
      </w:r>
      <w:r w:rsidR="00A03C37" w:rsidRPr="00A03C37">
        <w:rPr>
          <w:lang w:val="it-IT"/>
        </w:rPr>
        <w:t xml:space="preserve">s used herein is equiped with on-line gas chromatography (Shimadzu 14 B, TC detector, He carrier gas) for the analysis of reactants and products. </w:t>
      </w:r>
      <w:r w:rsidR="00A03C37">
        <w:rPr>
          <w:lang w:val="it-IT"/>
        </w:rPr>
        <w:t xml:space="preserve">CO </w:t>
      </w:r>
      <w:r>
        <w:rPr>
          <w:lang w:val="it-IT"/>
        </w:rPr>
        <w:lastRenderedPageBreak/>
        <w:t>conversion</w:t>
      </w:r>
      <w:r w:rsidR="00A03C37" w:rsidRPr="00A03C37">
        <w:rPr>
          <w:lang w:val="it-IT"/>
        </w:rPr>
        <w:t xml:space="preserve"> </w:t>
      </w:r>
      <w:r w:rsidR="00A03C37">
        <w:rPr>
          <w:lang w:val="it-IT"/>
        </w:rPr>
        <w:t>efficiency</w:t>
      </w:r>
      <w:r w:rsidR="00A03C37" w:rsidRPr="00A03C37">
        <w:rPr>
          <w:lang w:val="it-IT"/>
        </w:rPr>
        <w:t xml:space="preserve"> as a function of temperature (light-off </w:t>
      </w:r>
      <w:r>
        <w:rPr>
          <w:lang w:val="it-IT"/>
        </w:rPr>
        <w:t>diagrams</w:t>
      </w:r>
      <w:r w:rsidR="00A03C37" w:rsidRPr="00A03C37">
        <w:rPr>
          <w:lang w:val="it-IT"/>
        </w:rPr>
        <w:t>) was investigated in t</w:t>
      </w:r>
      <w:r>
        <w:rPr>
          <w:lang w:val="it-IT"/>
        </w:rPr>
        <w:t xml:space="preserve">he temperature range of </w:t>
      </w:r>
      <w:r w:rsidR="008A79C9">
        <w:rPr>
          <w:lang w:val="it-IT"/>
        </w:rPr>
        <w:t>100</w:t>
      </w:r>
      <w:r>
        <w:rPr>
          <w:lang w:val="it-IT"/>
        </w:rPr>
        <w:t>-4</w:t>
      </w:r>
      <w:r w:rsidR="008A79C9">
        <w:rPr>
          <w:lang w:val="it-IT"/>
        </w:rPr>
        <w:t>5</w:t>
      </w:r>
      <w:r>
        <w:rPr>
          <w:lang w:val="it-IT"/>
        </w:rPr>
        <w:t>0</w:t>
      </w:r>
      <w:r w:rsidRPr="009D686F">
        <w:rPr>
          <w:vertAlign w:val="superscript"/>
          <w:lang w:val="it-IT"/>
        </w:rPr>
        <w:t>o</w:t>
      </w:r>
      <w:r w:rsidR="00A03C37" w:rsidRPr="00A03C37">
        <w:rPr>
          <w:lang w:val="it-IT"/>
        </w:rPr>
        <w:t>C.</w:t>
      </w:r>
    </w:p>
    <w:p w14:paraId="0E2A72E8" w14:textId="77777777" w:rsidR="005C2F7E" w:rsidRPr="005C2F7E" w:rsidRDefault="005C2F7E" w:rsidP="005C2F7E">
      <w:pPr>
        <w:pStyle w:val="S09PARAGRAFISUCESSIVI"/>
        <w:spacing w:line="240" w:lineRule="auto"/>
        <w:rPr>
          <w:lang w:val="it-IT"/>
        </w:rPr>
      </w:pPr>
    </w:p>
    <w:p w14:paraId="312327B5" w14:textId="5972818C" w:rsidR="005F3DCE" w:rsidRPr="005F3DCE" w:rsidRDefault="005F3DCE" w:rsidP="00010EBC">
      <w:pPr>
        <w:pStyle w:val="S09PARAGRAFISUCESSIVI"/>
        <w:spacing w:after="120" w:line="240" w:lineRule="auto"/>
        <w:ind w:firstLine="0"/>
        <w:rPr>
          <w:b/>
          <w:color w:val="000000"/>
        </w:rPr>
      </w:pPr>
      <w:r>
        <w:rPr>
          <w:b/>
          <w:color w:val="000000"/>
        </w:rPr>
        <w:t>2.3</w:t>
      </w:r>
      <w:r w:rsidR="00657570">
        <w:rPr>
          <w:b/>
          <w:color w:val="000000"/>
        </w:rPr>
        <w:t>.</w:t>
      </w:r>
      <w:r>
        <w:rPr>
          <w:b/>
          <w:color w:val="000000"/>
        </w:rPr>
        <w:t xml:space="preserve"> Characterization techniques </w:t>
      </w:r>
    </w:p>
    <w:p w14:paraId="74B5F554" w14:textId="5AD2475F" w:rsidR="009D686F" w:rsidRPr="001554A1" w:rsidRDefault="00730C88" w:rsidP="00F807BC">
      <w:pPr>
        <w:spacing w:line="240" w:lineRule="auto"/>
        <w:ind w:right="-29" w:firstLine="0"/>
        <w:rPr>
          <w:szCs w:val="24"/>
          <w:lang w:val="en-US"/>
        </w:rPr>
      </w:pPr>
      <w:r w:rsidRPr="001554A1">
        <w:rPr>
          <w:szCs w:val="24"/>
          <w:lang w:val="en-US"/>
        </w:rPr>
        <w:t xml:space="preserve">The </w:t>
      </w:r>
      <w:r w:rsidR="009D686F" w:rsidRPr="001554A1">
        <w:rPr>
          <w:szCs w:val="24"/>
          <w:lang w:val="en-US"/>
        </w:rPr>
        <w:t>textural</w:t>
      </w:r>
      <w:r w:rsidRPr="001554A1">
        <w:rPr>
          <w:szCs w:val="24"/>
          <w:lang w:val="en-US"/>
        </w:rPr>
        <w:t xml:space="preserve"> characteristics of </w:t>
      </w:r>
      <w:r w:rsidR="00F807BC">
        <w:rPr>
          <w:szCs w:val="24"/>
          <w:lang w:val="en-US"/>
        </w:rPr>
        <w:t xml:space="preserve">the </w:t>
      </w:r>
      <w:r w:rsidR="00F94F58" w:rsidRPr="001554A1">
        <w:rPr>
          <w:szCs w:val="24"/>
          <w:lang w:val="en-US"/>
        </w:rPr>
        <w:t>LSM</w:t>
      </w:r>
      <w:r w:rsidRPr="001554A1">
        <w:rPr>
          <w:szCs w:val="24"/>
          <w:lang w:val="en-US"/>
        </w:rPr>
        <w:t xml:space="preserve"> </w:t>
      </w:r>
      <w:r w:rsidR="009D686F" w:rsidRPr="001554A1">
        <w:rPr>
          <w:szCs w:val="24"/>
          <w:lang w:val="en-US"/>
        </w:rPr>
        <w:t xml:space="preserve">supports </w:t>
      </w:r>
      <w:r w:rsidRPr="001554A1">
        <w:rPr>
          <w:szCs w:val="24"/>
          <w:lang w:val="en-US"/>
        </w:rPr>
        <w:t>and</w:t>
      </w:r>
      <w:r w:rsidR="009D686F" w:rsidRPr="001554A1">
        <w:rPr>
          <w:szCs w:val="24"/>
          <w:lang w:val="en-US"/>
        </w:rPr>
        <w:t xml:space="preserve"> counterpart</w:t>
      </w:r>
      <w:r w:rsidRPr="001554A1">
        <w:rPr>
          <w:szCs w:val="24"/>
          <w:lang w:val="en-US"/>
        </w:rPr>
        <w:t xml:space="preserve"> </w:t>
      </w:r>
      <w:proofErr w:type="spellStart"/>
      <w:r w:rsidR="009D686F" w:rsidRPr="001554A1">
        <w:rPr>
          <w:szCs w:val="24"/>
          <w:lang w:val="en-US"/>
        </w:rPr>
        <w:t>Ir</w:t>
      </w:r>
      <w:proofErr w:type="spellEnd"/>
      <w:r w:rsidR="009D686F" w:rsidRPr="001554A1">
        <w:rPr>
          <w:szCs w:val="24"/>
          <w:lang w:val="en-US"/>
        </w:rPr>
        <w:t>/</w:t>
      </w:r>
      <w:r w:rsidR="00F94F58" w:rsidRPr="001554A1">
        <w:rPr>
          <w:szCs w:val="24"/>
          <w:lang w:val="en-US"/>
        </w:rPr>
        <w:t>LSM catalysts</w:t>
      </w:r>
      <w:r w:rsidRPr="001554A1">
        <w:rPr>
          <w:szCs w:val="24"/>
          <w:lang w:val="en-US"/>
        </w:rPr>
        <w:t xml:space="preserve"> were </w:t>
      </w:r>
      <w:r w:rsidRPr="0063463B">
        <w:rPr>
          <w:szCs w:val="24"/>
          <w:lang w:val="en-US"/>
        </w:rPr>
        <w:t xml:space="preserve">determined by the </w:t>
      </w:r>
      <w:r w:rsidR="009D686F" w:rsidRPr="0063463B">
        <w:rPr>
          <w:i/>
          <w:szCs w:val="24"/>
          <w:lang w:val="en-US"/>
        </w:rPr>
        <w:t>N</w:t>
      </w:r>
      <w:r w:rsidR="009D686F" w:rsidRPr="0063463B">
        <w:rPr>
          <w:i/>
          <w:szCs w:val="24"/>
          <w:vertAlign w:val="subscript"/>
          <w:lang w:val="en-US"/>
        </w:rPr>
        <w:t>2</w:t>
      </w:r>
      <w:r w:rsidR="009D686F" w:rsidRPr="0063463B">
        <w:rPr>
          <w:i/>
          <w:szCs w:val="24"/>
          <w:lang w:val="en-US"/>
        </w:rPr>
        <w:t xml:space="preserve"> </w:t>
      </w:r>
      <w:r w:rsidRPr="0063463B">
        <w:rPr>
          <w:i/>
          <w:szCs w:val="24"/>
          <w:lang w:val="en-US"/>
        </w:rPr>
        <w:t>adsorption-desorption isotherms</w:t>
      </w:r>
      <w:r w:rsidR="009D686F" w:rsidRPr="0063463B">
        <w:rPr>
          <w:i/>
          <w:szCs w:val="24"/>
          <w:lang w:val="en-US"/>
        </w:rPr>
        <w:t xml:space="preserve"> </w:t>
      </w:r>
      <w:r w:rsidR="00F807BC" w:rsidRPr="00F807BC">
        <w:rPr>
          <w:szCs w:val="24"/>
          <w:lang w:val="en-US"/>
        </w:rPr>
        <w:t xml:space="preserve">carried out </w:t>
      </w:r>
      <w:r w:rsidR="009D686F" w:rsidRPr="00F807BC">
        <w:rPr>
          <w:szCs w:val="24"/>
          <w:lang w:val="en-US"/>
        </w:rPr>
        <w:t>at</w:t>
      </w:r>
      <w:r w:rsidR="009D686F" w:rsidRPr="0063463B">
        <w:rPr>
          <w:i/>
          <w:szCs w:val="24"/>
          <w:lang w:val="en-US"/>
        </w:rPr>
        <w:t xml:space="preserve"> </w:t>
      </w:r>
      <w:r w:rsidR="009D686F" w:rsidRPr="00F807BC">
        <w:rPr>
          <w:szCs w:val="24"/>
          <w:lang w:val="en-US"/>
        </w:rPr>
        <w:t>-196</w:t>
      </w:r>
      <w:r w:rsidR="009D686F" w:rsidRPr="00F807BC">
        <w:rPr>
          <w:szCs w:val="24"/>
          <w:vertAlign w:val="superscript"/>
          <w:lang w:val="en-US"/>
        </w:rPr>
        <w:t>o</w:t>
      </w:r>
      <w:r w:rsidR="009D686F" w:rsidRPr="00F807BC">
        <w:rPr>
          <w:szCs w:val="24"/>
          <w:lang w:val="en-US"/>
        </w:rPr>
        <w:t>C</w:t>
      </w:r>
      <w:r w:rsidR="00F807BC">
        <w:rPr>
          <w:szCs w:val="24"/>
          <w:lang w:val="en-US"/>
        </w:rPr>
        <w:t xml:space="preserve"> on in situ pre-degassed samples at 350</w:t>
      </w:r>
      <w:r w:rsidR="00F807BC" w:rsidRPr="00F807BC">
        <w:rPr>
          <w:szCs w:val="24"/>
          <w:vertAlign w:val="superscript"/>
          <w:lang w:val="en-US"/>
        </w:rPr>
        <w:t>o</w:t>
      </w:r>
      <w:r w:rsidR="00F807BC">
        <w:rPr>
          <w:szCs w:val="24"/>
          <w:lang w:val="en-US"/>
        </w:rPr>
        <w:t>C for 12 h</w:t>
      </w:r>
      <w:r w:rsidRPr="0063463B">
        <w:rPr>
          <w:szCs w:val="24"/>
          <w:lang w:val="en-US"/>
        </w:rPr>
        <w:t xml:space="preserve">, using a Nova 2200e </w:t>
      </w:r>
      <w:proofErr w:type="spellStart"/>
      <w:r w:rsidRPr="0063463B">
        <w:rPr>
          <w:szCs w:val="24"/>
          <w:lang w:val="en-US"/>
        </w:rPr>
        <w:t>Quantochrome</w:t>
      </w:r>
      <w:proofErr w:type="spellEnd"/>
      <w:r w:rsidR="00154401" w:rsidRPr="0063463B">
        <w:rPr>
          <w:szCs w:val="24"/>
          <w:lang w:val="en-US"/>
        </w:rPr>
        <w:t xml:space="preserve">. </w:t>
      </w:r>
      <w:r w:rsidR="009D686F" w:rsidRPr="0063463B">
        <w:rPr>
          <w:szCs w:val="24"/>
          <w:lang w:val="en-US"/>
        </w:rPr>
        <w:t>S</w:t>
      </w:r>
      <w:r w:rsidR="00154401" w:rsidRPr="0063463B">
        <w:rPr>
          <w:szCs w:val="24"/>
          <w:lang w:val="en-US"/>
        </w:rPr>
        <w:t xml:space="preserve">amples </w:t>
      </w:r>
      <w:r w:rsidR="009D686F" w:rsidRPr="0063463B">
        <w:rPr>
          <w:szCs w:val="24"/>
          <w:lang w:val="en-US"/>
        </w:rPr>
        <w:t>were</w:t>
      </w:r>
      <w:r w:rsidR="0052532E" w:rsidRPr="0063463B">
        <w:rPr>
          <w:szCs w:val="24"/>
          <w:lang w:val="en-US"/>
        </w:rPr>
        <w:t xml:space="preserve"> degass</w:t>
      </w:r>
      <w:r w:rsidR="009D686F" w:rsidRPr="0063463B">
        <w:rPr>
          <w:szCs w:val="24"/>
          <w:lang w:val="en-US"/>
        </w:rPr>
        <w:t>ed</w:t>
      </w:r>
      <w:r w:rsidR="0052532E" w:rsidRPr="0063463B">
        <w:rPr>
          <w:szCs w:val="24"/>
          <w:lang w:val="en-US"/>
        </w:rPr>
        <w:t xml:space="preserve"> at 350</w:t>
      </w:r>
      <w:r w:rsidR="0052532E" w:rsidRPr="0063463B">
        <w:rPr>
          <w:szCs w:val="24"/>
          <w:vertAlign w:val="superscript"/>
          <w:lang w:val="en-US"/>
        </w:rPr>
        <w:t>o</w:t>
      </w:r>
      <w:r w:rsidR="0052532E" w:rsidRPr="0063463B">
        <w:rPr>
          <w:szCs w:val="24"/>
          <w:lang w:val="en-US"/>
        </w:rPr>
        <w:t>C, for 12</w:t>
      </w:r>
      <w:r w:rsidR="009D686F" w:rsidRPr="0063463B">
        <w:rPr>
          <w:szCs w:val="24"/>
          <w:lang w:val="en-US"/>
        </w:rPr>
        <w:t xml:space="preserve"> h.</w:t>
      </w:r>
      <w:r w:rsidRPr="0063463B">
        <w:rPr>
          <w:szCs w:val="24"/>
          <w:lang w:val="en-US"/>
        </w:rPr>
        <w:t xml:space="preserve"> </w:t>
      </w:r>
      <w:r w:rsidR="00F807BC">
        <w:rPr>
          <w:szCs w:val="24"/>
          <w:lang w:val="en-US"/>
        </w:rPr>
        <w:t xml:space="preserve">The </w:t>
      </w:r>
      <w:r w:rsidRPr="0063463B">
        <w:rPr>
          <w:szCs w:val="24"/>
          <w:lang w:val="en-US"/>
        </w:rPr>
        <w:t>surface areas (S</w:t>
      </w:r>
      <w:r w:rsidRPr="0063463B">
        <w:rPr>
          <w:szCs w:val="24"/>
          <w:vertAlign w:val="subscript"/>
          <w:lang w:val="en-US"/>
        </w:rPr>
        <w:t>BET</w:t>
      </w:r>
      <w:r w:rsidRPr="0063463B">
        <w:rPr>
          <w:szCs w:val="24"/>
          <w:lang w:val="en-US"/>
        </w:rPr>
        <w:t xml:space="preserve">) were obtained according to </w:t>
      </w:r>
      <w:proofErr w:type="spellStart"/>
      <w:r w:rsidRPr="0063463B">
        <w:rPr>
          <w:szCs w:val="24"/>
          <w:lang w:val="en-US"/>
        </w:rPr>
        <w:t>Brunauer</w:t>
      </w:r>
      <w:proofErr w:type="spellEnd"/>
      <w:r w:rsidRPr="0063463B">
        <w:rPr>
          <w:szCs w:val="24"/>
          <w:lang w:val="en-US"/>
        </w:rPr>
        <w:t>-Emmett-Teller (BET) method, total pore volume was calculated based on nitrogen volume</w:t>
      </w:r>
      <w:r w:rsidRPr="001554A1">
        <w:rPr>
          <w:szCs w:val="24"/>
          <w:lang w:val="en-US"/>
        </w:rPr>
        <w:t xml:space="preserve"> at the highest relative pressure and the average pore size diameter was determined by the Barrett-Joyner-</w:t>
      </w:r>
      <w:proofErr w:type="spellStart"/>
      <w:r w:rsidRPr="001554A1">
        <w:rPr>
          <w:szCs w:val="24"/>
          <w:lang w:val="en-US"/>
        </w:rPr>
        <w:t>Halenda</w:t>
      </w:r>
      <w:proofErr w:type="spellEnd"/>
      <w:r w:rsidRPr="001554A1">
        <w:rPr>
          <w:szCs w:val="24"/>
          <w:lang w:val="en-US"/>
        </w:rPr>
        <w:t xml:space="preserve"> (BJH) model. </w:t>
      </w:r>
    </w:p>
    <w:p w14:paraId="64AF574E" w14:textId="5008EA57" w:rsidR="009D686F" w:rsidRPr="001554A1" w:rsidRDefault="009D686F" w:rsidP="00010EBC">
      <w:pPr>
        <w:spacing w:line="240" w:lineRule="auto"/>
        <w:ind w:right="-29" w:firstLine="288"/>
        <w:rPr>
          <w:szCs w:val="24"/>
          <w:lang w:val="en-US"/>
        </w:rPr>
      </w:pPr>
      <w:r w:rsidRPr="00DF0F4A">
        <w:rPr>
          <w:i/>
          <w:szCs w:val="24"/>
          <w:lang w:val="en-US"/>
        </w:rPr>
        <w:t xml:space="preserve">Powder </w:t>
      </w:r>
      <w:r w:rsidR="00730C88" w:rsidRPr="00DF0F4A">
        <w:rPr>
          <w:i/>
          <w:szCs w:val="24"/>
          <w:lang w:val="en-US"/>
        </w:rPr>
        <w:t>X-ray diffraction (XRD) analysis</w:t>
      </w:r>
      <w:r w:rsidR="00730C88" w:rsidRPr="001554A1">
        <w:rPr>
          <w:szCs w:val="24"/>
          <w:lang w:val="en-US"/>
        </w:rPr>
        <w:t xml:space="preserve"> was performed on a </w:t>
      </w:r>
      <w:proofErr w:type="spellStart"/>
      <w:r w:rsidR="00730C88" w:rsidRPr="001554A1">
        <w:rPr>
          <w:szCs w:val="24"/>
          <w:lang w:val="en-US"/>
        </w:rPr>
        <w:t>BrukerAXS</w:t>
      </w:r>
      <w:proofErr w:type="spellEnd"/>
      <w:r w:rsidR="00730C88" w:rsidRPr="001554A1">
        <w:rPr>
          <w:szCs w:val="24"/>
          <w:lang w:val="en-US"/>
        </w:rPr>
        <w:t xml:space="preserve"> D8 Advance diffractometer at 35 kV and 35 mA with Cu Kα radiation and </w:t>
      </w:r>
      <w:proofErr w:type="spellStart"/>
      <w:r w:rsidR="00730C88" w:rsidRPr="001554A1">
        <w:rPr>
          <w:szCs w:val="24"/>
          <w:lang w:val="en-US"/>
        </w:rPr>
        <w:t>LynxEye</w:t>
      </w:r>
      <w:proofErr w:type="spellEnd"/>
      <w:r w:rsidR="00730C88" w:rsidRPr="001554A1">
        <w:rPr>
          <w:szCs w:val="24"/>
          <w:lang w:val="en-US"/>
        </w:rPr>
        <w:t xml:space="preserve"> detector with Ni-filter. The measurements were carried out in the 2θ angle range of 4–70 degrees with a scanning speed of 0.5 degrees per </w:t>
      </w:r>
      <w:r w:rsidR="00730C88" w:rsidRPr="0063463B">
        <w:rPr>
          <w:szCs w:val="24"/>
          <w:lang w:val="en-US"/>
        </w:rPr>
        <w:t xml:space="preserve">minute. </w:t>
      </w:r>
      <w:r w:rsidRPr="0063463B">
        <w:rPr>
          <w:szCs w:val="24"/>
          <w:lang w:val="en-US"/>
        </w:rPr>
        <w:t>Samples</w:t>
      </w:r>
      <w:r w:rsidR="00E0761B" w:rsidRPr="0063463B">
        <w:rPr>
          <w:szCs w:val="24"/>
          <w:lang w:val="en-US"/>
        </w:rPr>
        <w:t xml:space="preserve"> were calcinated in air at 400</w:t>
      </w:r>
      <w:r w:rsidR="00E0761B" w:rsidRPr="0063463B">
        <w:rPr>
          <w:szCs w:val="24"/>
          <w:vertAlign w:val="superscript"/>
          <w:lang w:val="en-US"/>
        </w:rPr>
        <w:t>o</w:t>
      </w:r>
      <w:r w:rsidR="00EF4361" w:rsidRPr="0063463B">
        <w:rPr>
          <w:szCs w:val="24"/>
          <w:vertAlign w:val="superscript"/>
          <w:lang w:val="en-US"/>
        </w:rPr>
        <w:t xml:space="preserve"> </w:t>
      </w:r>
      <w:r w:rsidR="00E0761B" w:rsidRPr="0063463B">
        <w:rPr>
          <w:szCs w:val="24"/>
          <w:lang w:val="en-US"/>
        </w:rPr>
        <w:t>C for 1 h, before XRD measurements.</w:t>
      </w:r>
      <w:r w:rsidR="003C61C9" w:rsidRPr="001554A1">
        <w:rPr>
          <w:szCs w:val="24"/>
          <w:lang w:val="en-US"/>
        </w:rPr>
        <w:t xml:space="preserve"> </w:t>
      </w:r>
      <w:r w:rsidR="00E0761B" w:rsidRPr="001554A1">
        <w:rPr>
          <w:szCs w:val="24"/>
          <w:lang w:val="en-US"/>
        </w:rPr>
        <w:t>Crystallography Open Database</w:t>
      </w:r>
      <w:r w:rsidRPr="001554A1">
        <w:rPr>
          <w:szCs w:val="24"/>
          <w:lang w:val="en-US"/>
        </w:rPr>
        <w:t xml:space="preserve"> (</w:t>
      </w:r>
      <w:r w:rsidR="00730C88" w:rsidRPr="001554A1">
        <w:rPr>
          <w:szCs w:val="24"/>
          <w:lang w:val="en-US"/>
        </w:rPr>
        <w:t>COD</w:t>
      </w:r>
      <w:r w:rsidRPr="001554A1">
        <w:rPr>
          <w:szCs w:val="24"/>
          <w:lang w:val="en-US"/>
        </w:rPr>
        <w:t>)</w:t>
      </w:r>
      <w:r w:rsidR="00E0761B" w:rsidRPr="001554A1">
        <w:rPr>
          <w:szCs w:val="24"/>
          <w:lang w:val="en-US"/>
        </w:rPr>
        <w:t xml:space="preserve"> was used for the identification of the crystal structures</w:t>
      </w:r>
      <w:r w:rsidR="00730C88" w:rsidRPr="001554A1">
        <w:rPr>
          <w:szCs w:val="24"/>
          <w:lang w:val="en-US"/>
        </w:rPr>
        <w:t>.</w:t>
      </w:r>
      <w:r w:rsidR="00E0761B" w:rsidRPr="001554A1">
        <w:rPr>
          <w:szCs w:val="24"/>
          <w:lang w:val="en-US"/>
        </w:rPr>
        <w:t xml:space="preserve"> The quantification of the phases in the samples was performed with the Rietveld method using </w:t>
      </w:r>
      <w:proofErr w:type="spellStart"/>
      <w:r w:rsidR="00E0761B" w:rsidRPr="001554A1">
        <w:rPr>
          <w:szCs w:val="24"/>
          <w:lang w:val="en-US"/>
        </w:rPr>
        <w:t>BrukerAXS</w:t>
      </w:r>
      <w:proofErr w:type="spellEnd"/>
      <w:r w:rsidR="00E0761B" w:rsidRPr="001554A1">
        <w:rPr>
          <w:szCs w:val="24"/>
          <w:lang w:val="en-US"/>
        </w:rPr>
        <w:t xml:space="preserve"> </w:t>
      </w:r>
      <w:proofErr w:type="spellStart"/>
      <w:r w:rsidR="00E0761B" w:rsidRPr="001554A1">
        <w:rPr>
          <w:szCs w:val="24"/>
          <w:lang w:val="en-US"/>
        </w:rPr>
        <w:t>Topas</w:t>
      </w:r>
      <w:proofErr w:type="spellEnd"/>
      <w:r w:rsidR="00E0761B" w:rsidRPr="001554A1">
        <w:rPr>
          <w:szCs w:val="24"/>
          <w:lang w:val="en-US"/>
        </w:rPr>
        <w:t xml:space="preserve"> software. </w:t>
      </w:r>
      <w:r w:rsidR="00154401" w:rsidRPr="001554A1">
        <w:rPr>
          <w:szCs w:val="24"/>
          <w:lang w:val="en-US"/>
        </w:rPr>
        <w:t xml:space="preserve">The average particle size of different phases was calculated with the Scherrer equation, based on their most intense diffraction peaks. </w:t>
      </w:r>
    </w:p>
    <w:p w14:paraId="6200568F" w14:textId="0112FBDA" w:rsidR="00825B1E" w:rsidRPr="00906632" w:rsidRDefault="009D686F" w:rsidP="009D686F">
      <w:pPr>
        <w:spacing w:line="240" w:lineRule="atLeast"/>
        <w:ind w:right="-29" w:firstLine="288"/>
        <w:rPr>
          <w:szCs w:val="24"/>
          <w:lang w:val="en-US"/>
        </w:rPr>
      </w:pPr>
      <w:r w:rsidRPr="00DF0F4A">
        <w:rPr>
          <w:i/>
          <w:szCs w:val="24"/>
          <w:lang w:val="en-US"/>
        </w:rPr>
        <w:t>Hydrogen temperature p</w:t>
      </w:r>
      <w:r w:rsidR="00730C88" w:rsidRPr="00DF0F4A">
        <w:rPr>
          <w:i/>
          <w:szCs w:val="24"/>
          <w:lang w:val="en-US"/>
        </w:rPr>
        <w:t>rogrammed</w:t>
      </w:r>
      <w:r w:rsidRPr="00DF0F4A">
        <w:rPr>
          <w:i/>
          <w:szCs w:val="24"/>
          <w:lang w:val="en-US"/>
        </w:rPr>
        <w:t xml:space="preserve"> reduction</w:t>
      </w:r>
      <w:r w:rsidR="00730C88" w:rsidRPr="00DF0F4A">
        <w:rPr>
          <w:i/>
          <w:szCs w:val="24"/>
          <w:lang w:val="en-US"/>
        </w:rPr>
        <w:t xml:space="preserve"> (H</w:t>
      </w:r>
      <w:r w:rsidR="00730C88" w:rsidRPr="00DF0F4A">
        <w:rPr>
          <w:i/>
          <w:szCs w:val="24"/>
          <w:vertAlign w:val="subscript"/>
          <w:lang w:val="en-US"/>
        </w:rPr>
        <w:t>2</w:t>
      </w:r>
      <w:r w:rsidR="00730C88" w:rsidRPr="00DF0F4A">
        <w:rPr>
          <w:i/>
          <w:szCs w:val="24"/>
          <w:lang w:val="en-US"/>
        </w:rPr>
        <w:t>-TPR)</w:t>
      </w:r>
      <w:r w:rsidR="00730C88" w:rsidRPr="00786E37">
        <w:rPr>
          <w:szCs w:val="24"/>
          <w:lang w:val="en-US"/>
        </w:rPr>
        <w:t xml:space="preserve"> measurements</w:t>
      </w:r>
      <w:r w:rsidR="008657FE" w:rsidRPr="001554A1">
        <w:rPr>
          <w:szCs w:val="24"/>
          <w:lang w:val="en-US"/>
        </w:rPr>
        <w:t xml:space="preserve"> </w:t>
      </w:r>
      <w:r w:rsidR="00730C88" w:rsidRPr="001554A1">
        <w:rPr>
          <w:szCs w:val="24"/>
          <w:lang w:val="en-US"/>
        </w:rPr>
        <w:t xml:space="preserve">were performed by a </w:t>
      </w:r>
      <w:proofErr w:type="spellStart"/>
      <w:r w:rsidR="00730C88" w:rsidRPr="001554A1">
        <w:rPr>
          <w:szCs w:val="24"/>
          <w:lang w:val="en-US"/>
        </w:rPr>
        <w:t>Quantachrome</w:t>
      </w:r>
      <w:proofErr w:type="spellEnd"/>
      <w:r w:rsidR="00730C88" w:rsidRPr="001554A1">
        <w:rPr>
          <w:szCs w:val="24"/>
          <w:lang w:val="en-US"/>
        </w:rPr>
        <w:t>/</w:t>
      </w:r>
      <w:proofErr w:type="spellStart"/>
      <w:r w:rsidR="00730C88" w:rsidRPr="001554A1">
        <w:rPr>
          <w:szCs w:val="24"/>
          <w:lang w:val="en-US"/>
        </w:rPr>
        <w:t>ChemBet</w:t>
      </w:r>
      <w:proofErr w:type="spellEnd"/>
      <w:r w:rsidR="00730C88" w:rsidRPr="001554A1">
        <w:rPr>
          <w:szCs w:val="24"/>
          <w:lang w:val="en-US"/>
        </w:rPr>
        <w:t xml:space="preserve"> Pulsar TPR/TPD chemisorption analyzer </w:t>
      </w:r>
      <w:r w:rsidR="00786E37" w:rsidRPr="001554A1">
        <w:rPr>
          <w:szCs w:val="24"/>
          <w:lang w:val="en-US"/>
        </w:rPr>
        <w:t>equipped</w:t>
      </w:r>
      <w:r w:rsidR="00825B1E" w:rsidRPr="001554A1">
        <w:rPr>
          <w:szCs w:val="24"/>
          <w:lang w:val="en-US"/>
        </w:rPr>
        <w:t xml:space="preserve"> with </w:t>
      </w:r>
      <w:r w:rsidR="00730C88" w:rsidRPr="001554A1">
        <w:rPr>
          <w:szCs w:val="24"/>
          <w:lang w:val="en-US"/>
        </w:rPr>
        <w:t xml:space="preserve">an </w:t>
      </w:r>
      <w:proofErr w:type="spellStart"/>
      <w:r w:rsidR="00730C88" w:rsidRPr="001554A1">
        <w:rPr>
          <w:szCs w:val="24"/>
          <w:lang w:val="en-US"/>
        </w:rPr>
        <w:t>Omnistar</w:t>
      </w:r>
      <w:proofErr w:type="spellEnd"/>
      <w:r w:rsidR="00730C88" w:rsidRPr="001554A1">
        <w:rPr>
          <w:szCs w:val="24"/>
          <w:lang w:val="en-US"/>
        </w:rPr>
        <w:t xml:space="preserve">/Pfeiffer Vacuum mass spectrometer to </w:t>
      </w:r>
      <w:r w:rsidR="00825B1E" w:rsidRPr="001554A1">
        <w:rPr>
          <w:szCs w:val="24"/>
          <w:lang w:val="en-US"/>
        </w:rPr>
        <w:t>record the H</w:t>
      </w:r>
      <w:r w:rsidR="00825B1E" w:rsidRPr="001554A1">
        <w:rPr>
          <w:szCs w:val="24"/>
          <w:vertAlign w:val="subscript"/>
          <w:lang w:val="en-US"/>
        </w:rPr>
        <w:t>2</w:t>
      </w:r>
      <w:r w:rsidR="00825B1E" w:rsidRPr="001554A1">
        <w:rPr>
          <w:szCs w:val="24"/>
          <w:lang w:val="en-US"/>
        </w:rPr>
        <w:t xml:space="preserve">-consumption profiles and to </w:t>
      </w:r>
      <w:r w:rsidR="00730C88" w:rsidRPr="001554A1">
        <w:rPr>
          <w:szCs w:val="24"/>
          <w:lang w:val="en-US"/>
        </w:rPr>
        <w:t xml:space="preserve">evaluate the oxygen storage capacities (OSC) of the </w:t>
      </w:r>
      <w:r w:rsidR="00825B1E" w:rsidRPr="001554A1">
        <w:rPr>
          <w:szCs w:val="24"/>
          <w:lang w:val="en-US"/>
        </w:rPr>
        <w:t xml:space="preserve">materials </w:t>
      </w:r>
      <w:r w:rsidR="00786E37">
        <w:rPr>
          <w:szCs w:val="24"/>
          <w:lang w:val="en-US"/>
        </w:rPr>
        <w:t xml:space="preserve">by </w:t>
      </w:r>
      <w:r w:rsidR="00825B1E" w:rsidRPr="001554A1">
        <w:rPr>
          <w:szCs w:val="24"/>
          <w:lang w:val="en-US"/>
        </w:rPr>
        <w:t>using the values of total amount of H</w:t>
      </w:r>
      <w:r w:rsidR="00825B1E" w:rsidRPr="001554A1">
        <w:rPr>
          <w:szCs w:val="24"/>
          <w:vertAlign w:val="subscript"/>
          <w:lang w:val="en-US"/>
        </w:rPr>
        <w:t>2</w:t>
      </w:r>
      <w:r w:rsidR="00825B1E" w:rsidRPr="001554A1">
        <w:rPr>
          <w:szCs w:val="24"/>
          <w:lang w:val="en-US"/>
        </w:rPr>
        <w:t xml:space="preserve"> consumed</w:t>
      </w:r>
      <w:r w:rsidR="00730C88" w:rsidRPr="001554A1">
        <w:rPr>
          <w:szCs w:val="24"/>
          <w:lang w:val="en-US"/>
        </w:rPr>
        <w:t>.</w:t>
      </w:r>
      <w:r w:rsidR="00825B1E" w:rsidRPr="001554A1">
        <w:rPr>
          <w:szCs w:val="24"/>
          <w:lang w:val="en-US"/>
        </w:rPr>
        <w:t xml:space="preserve"> </w:t>
      </w:r>
      <w:r w:rsidR="003E6D24" w:rsidRPr="00EE2E3D">
        <w:rPr>
          <w:szCs w:val="24"/>
        </w:rPr>
        <w:t>Before data acquisition, samples were oxidized in situ with 20% O</w:t>
      </w:r>
      <w:r w:rsidR="003E6D24" w:rsidRPr="00EE2E3D">
        <w:rPr>
          <w:szCs w:val="24"/>
          <w:vertAlign w:val="subscript"/>
        </w:rPr>
        <w:t>2</w:t>
      </w:r>
      <w:r w:rsidR="003E6D24" w:rsidRPr="00EE2E3D">
        <w:rPr>
          <w:szCs w:val="24"/>
        </w:rPr>
        <w:t xml:space="preserve">/He at </w:t>
      </w:r>
      <w:r w:rsidR="0063463B" w:rsidRPr="00EE2E3D">
        <w:rPr>
          <w:szCs w:val="24"/>
        </w:rPr>
        <w:t>4</w:t>
      </w:r>
      <w:r w:rsidR="003E6D24" w:rsidRPr="00EE2E3D">
        <w:rPr>
          <w:szCs w:val="24"/>
        </w:rPr>
        <w:t xml:space="preserve">50 °C for </w:t>
      </w:r>
      <w:r w:rsidR="0063463B" w:rsidRPr="00EE2E3D">
        <w:rPr>
          <w:szCs w:val="24"/>
        </w:rPr>
        <w:t>2 h</w:t>
      </w:r>
      <w:r w:rsidR="003E6D24" w:rsidRPr="00EE2E3D">
        <w:rPr>
          <w:szCs w:val="24"/>
        </w:rPr>
        <w:t xml:space="preserve"> followed by cooling to </w:t>
      </w:r>
      <w:r w:rsidR="0063463B" w:rsidRPr="00EE2E3D">
        <w:rPr>
          <w:szCs w:val="24"/>
        </w:rPr>
        <w:t>140</w:t>
      </w:r>
      <w:r w:rsidR="0063463B" w:rsidRPr="00EE2E3D">
        <w:rPr>
          <w:szCs w:val="24"/>
          <w:vertAlign w:val="superscript"/>
        </w:rPr>
        <w:t>o</w:t>
      </w:r>
      <w:r w:rsidR="0063463B" w:rsidRPr="00EE2E3D">
        <w:rPr>
          <w:szCs w:val="24"/>
        </w:rPr>
        <w:t>C</w:t>
      </w:r>
      <w:r w:rsidR="00F807BC">
        <w:rPr>
          <w:szCs w:val="24"/>
        </w:rPr>
        <w:t>.</w:t>
      </w:r>
      <w:r w:rsidR="0063463B" w:rsidRPr="00EE2E3D">
        <w:rPr>
          <w:szCs w:val="24"/>
        </w:rPr>
        <w:t xml:space="preserve"> At this temperature t</w:t>
      </w:r>
      <w:r w:rsidR="003E6D24" w:rsidRPr="00EE2E3D">
        <w:rPr>
          <w:szCs w:val="24"/>
        </w:rPr>
        <w:t xml:space="preserve">he system was purged </w:t>
      </w:r>
      <w:r w:rsidR="00EE2E3D" w:rsidRPr="00EE2E3D">
        <w:rPr>
          <w:szCs w:val="24"/>
        </w:rPr>
        <w:t>by</w:t>
      </w:r>
      <w:r w:rsidR="003E6D24" w:rsidRPr="00EE2E3D">
        <w:rPr>
          <w:szCs w:val="24"/>
        </w:rPr>
        <w:t xml:space="preserve"> He flow for 10 min </w:t>
      </w:r>
      <w:r w:rsidR="00EE2E3D" w:rsidRPr="00EE2E3D">
        <w:rPr>
          <w:szCs w:val="24"/>
        </w:rPr>
        <w:t xml:space="preserve">and then cooled under the same flow to room temperature. Then </w:t>
      </w:r>
      <w:r w:rsidR="003E6D24" w:rsidRPr="00EE2E3D">
        <w:rPr>
          <w:szCs w:val="24"/>
        </w:rPr>
        <w:t xml:space="preserve">the TPR measurements carried out with a flow of </w:t>
      </w:r>
      <w:r w:rsidR="00EE2E3D" w:rsidRPr="00EE2E3D">
        <w:rPr>
          <w:szCs w:val="24"/>
        </w:rPr>
        <w:t>20</w:t>
      </w:r>
      <w:r w:rsidR="003E6D24" w:rsidRPr="00EE2E3D">
        <w:rPr>
          <w:szCs w:val="24"/>
        </w:rPr>
        <w:t> cm</w:t>
      </w:r>
      <w:r w:rsidR="003E6D24" w:rsidRPr="00EE2E3D">
        <w:rPr>
          <w:szCs w:val="24"/>
          <w:vertAlign w:val="superscript"/>
        </w:rPr>
        <w:t>3</w:t>
      </w:r>
      <w:r w:rsidR="003E6D24" w:rsidRPr="00EE2E3D">
        <w:rPr>
          <w:szCs w:val="24"/>
        </w:rPr>
        <w:t xml:space="preserve">/min of </w:t>
      </w:r>
      <w:r w:rsidR="00EE2E3D" w:rsidRPr="00EE2E3D">
        <w:rPr>
          <w:szCs w:val="24"/>
        </w:rPr>
        <w:t>5</w:t>
      </w:r>
      <w:r w:rsidR="003E6D24" w:rsidRPr="00EE2E3D">
        <w:rPr>
          <w:szCs w:val="24"/>
        </w:rPr>
        <w:t>% H</w:t>
      </w:r>
      <w:r w:rsidR="003E6D24" w:rsidRPr="00EE2E3D">
        <w:rPr>
          <w:szCs w:val="24"/>
          <w:vertAlign w:val="subscript"/>
        </w:rPr>
        <w:t>2</w:t>
      </w:r>
      <w:r w:rsidR="003E6D24" w:rsidRPr="00EE2E3D">
        <w:rPr>
          <w:szCs w:val="24"/>
        </w:rPr>
        <w:t xml:space="preserve">/He </w:t>
      </w:r>
      <w:r w:rsidR="00EE2E3D" w:rsidRPr="00EE2E3D">
        <w:rPr>
          <w:szCs w:val="24"/>
        </w:rPr>
        <w:t>and a temperature ramp rate of at 10 °C/min</w:t>
      </w:r>
      <w:r w:rsidR="003E6D24" w:rsidRPr="00EE2E3D">
        <w:rPr>
          <w:szCs w:val="24"/>
        </w:rPr>
        <w:t> </w:t>
      </w:r>
      <w:r w:rsidR="00EE2E3D" w:rsidRPr="00EE2E3D">
        <w:rPr>
          <w:szCs w:val="24"/>
        </w:rPr>
        <w:t xml:space="preserve">up </w:t>
      </w:r>
      <w:r w:rsidR="003E6D24" w:rsidRPr="00EE2E3D">
        <w:rPr>
          <w:szCs w:val="24"/>
        </w:rPr>
        <w:t xml:space="preserve">to </w:t>
      </w:r>
      <w:r w:rsidR="00906632" w:rsidRPr="00EE2E3D">
        <w:rPr>
          <w:szCs w:val="24"/>
          <w:lang w:val="en-US"/>
        </w:rPr>
        <w:t>800</w:t>
      </w:r>
      <w:r w:rsidR="003E6D24" w:rsidRPr="00EE2E3D">
        <w:rPr>
          <w:szCs w:val="24"/>
        </w:rPr>
        <w:t xml:space="preserve"> °C. </w:t>
      </w:r>
      <w:r w:rsidR="00906632" w:rsidRPr="00EE2E3D">
        <w:rPr>
          <w:szCs w:val="24"/>
          <w:lang w:val="el-GR"/>
        </w:rPr>
        <w:t>Τ</w:t>
      </w:r>
      <w:r w:rsidR="00906632" w:rsidRPr="00EE2E3D">
        <w:rPr>
          <w:szCs w:val="24"/>
          <w:lang w:val="en-US"/>
        </w:rPr>
        <w:t>he method of calculating total OSC values from H</w:t>
      </w:r>
      <w:r w:rsidR="00906632" w:rsidRPr="00EE2E3D">
        <w:rPr>
          <w:szCs w:val="24"/>
          <w:vertAlign w:val="subscript"/>
          <w:lang w:val="en-US"/>
        </w:rPr>
        <w:t>2</w:t>
      </w:r>
      <w:r w:rsidR="00906632" w:rsidRPr="00EE2E3D">
        <w:rPr>
          <w:szCs w:val="24"/>
          <w:lang w:val="en-US"/>
        </w:rPr>
        <w:t xml:space="preserve"> consumption profile</w:t>
      </w:r>
      <w:r w:rsidR="00EE2E3D" w:rsidRPr="00EE2E3D">
        <w:rPr>
          <w:szCs w:val="24"/>
          <w:lang w:val="en-US"/>
        </w:rPr>
        <w:t>s</w:t>
      </w:r>
      <w:r w:rsidR="00906632" w:rsidRPr="00EE2E3D">
        <w:rPr>
          <w:szCs w:val="24"/>
          <w:lang w:val="en-US"/>
        </w:rPr>
        <w:t xml:space="preserve"> can be found elsewhere (Goula et al., 2019).</w:t>
      </w:r>
    </w:p>
    <w:p w14:paraId="2074B892" w14:textId="71E5D64F" w:rsidR="005F3DCE" w:rsidRPr="001554A1" w:rsidRDefault="003E6D24" w:rsidP="00657570">
      <w:pPr>
        <w:tabs>
          <w:tab w:val="clear" w:pos="9498"/>
        </w:tabs>
        <w:spacing w:line="240" w:lineRule="atLeast"/>
        <w:ind w:right="-29" w:firstLine="288"/>
        <w:rPr>
          <w:szCs w:val="24"/>
          <w:lang w:val="en-US"/>
        </w:rPr>
      </w:pPr>
      <w:r>
        <w:rPr>
          <w:i/>
          <w:szCs w:val="24"/>
          <w:lang w:val="en-US"/>
        </w:rPr>
        <w:t>I</w:t>
      </w:r>
      <w:r w:rsidRPr="003E6D24">
        <w:rPr>
          <w:i/>
          <w:szCs w:val="24"/>
          <w:lang w:val="en-US"/>
        </w:rPr>
        <w:t>sothermal H</w:t>
      </w:r>
      <w:r w:rsidRPr="003E6D24">
        <w:rPr>
          <w:i/>
          <w:szCs w:val="24"/>
          <w:vertAlign w:val="subscript"/>
          <w:lang w:val="en-US"/>
        </w:rPr>
        <w:t>2</w:t>
      </w:r>
      <w:r w:rsidRPr="003E6D24">
        <w:rPr>
          <w:i/>
          <w:szCs w:val="24"/>
          <w:lang w:val="en-US"/>
        </w:rPr>
        <w:t xml:space="preserve"> chemisorption</w:t>
      </w:r>
      <w:r>
        <w:rPr>
          <w:i/>
          <w:szCs w:val="24"/>
          <w:lang w:val="en-US"/>
        </w:rPr>
        <w:t xml:space="preserve"> </w:t>
      </w:r>
      <w:r w:rsidRPr="003E6D24">
        <w:rPr>
          <w:szCs w:val="24"/>
          <w:lang w:val="en-US"/>
        </w:rPr>
        <w:t>measurements</w:t>
      </w:r>
      <w:r>
        <w:rPr>
          <w:i/>
          <w:szCs w:val="24"/>
          <w:lang w:val="en-US"/>
        </w:rPr>
        <w:t xml:space="preserve"> </w:t>
      </w:r>
      <w:r w:rsidR="00F807BC">
        <w:rPr>
          <w:szCs w:val="24"/>
          <w:lang w:val="en-US"/>
        </w:rPr>
        <w:t>(at 25</w:t>
      </w:r>
      <w:r w:rsidR="00F807BC" w:rsidRPr="00F807BC">
        <w:rPr>
          <w:szCs w:val="24"/>
          <w:vertAlign w:val="superscript"/>
          <w:lang w:val="en-US"/>
        </w:rPr>
        <w:t>o</w:t>
      </w:r>
      <w:r w:rsidR="00F807BC">
        <w:rPr>
          <w:szCs w:val="24"/>
          <w:lang w:val="en-US"/>
        </w:rPr>
        <w:t xml:space="preserve">C) </w:t>
      </w:r>
      <w:r w:rsidRPr="003E6D24">
        <w:rPr>
          <w:szCs w:val="24"/>
          <w:lang w:val="en-US"/>
        </w:rPr>
        <w:t xml:space="preserve">were conducted </w:t>
      </w:r>
      <w:r>
        <w:rPr>
          <w:szCs w:val="24"/>
          <w:lang w:val="en-US"/>
        </w:rPr>
        <w:t>with t</w:t>
      </w:r>
      <w:r w:rsidR="00825B1E" w:rsidRPr="001554A1">
        <w:rPr>
          <w:szCs w:val="24"/>
          <w:lang w:val="en-US"/>
        </w:rPr>
        <w:t xml:space="preserve">he same </w:t>
      </w:r>
      <w:r w:rsidR="00786E37" w:rsidRPr="001554A1">
        <w:rPr>
          <w:szCs w:val="24"/>
          <w:lang w:val="en-US"/>
        </w:rPr>
        <w:t>instrumentation</w:t>
      </w:r>
      <w:r w:rsidR="00825B1E" w:rsidRPr="001554A1">
        <w:rPr>
          <w:szCs w:val="24"/>
          <w:lang w:val="en-US"/>
        </w:rPr>
        <w:t xml:space="preserve"> </w:t>
      </w:r>
      <w:r>
        <w:rPr>
          <w:szCs w:val="24"/>
          <w:lang w:val="en-US"/>
        </w:rPr>
        <w:t xml:space="preserve">used in </w:t>
      </w:r>
      <w:r w:rsidR="00825B1E" w:rsidRPr="001554A1">
        <w:rPr>
          <w:szCs w:val="24"/>
          <w:lang w:val="en-US"/>
        </w:rPr>
        <w:t>H</w:t>
      </w:r>
      <w:r w:rsidR="00825B1E" w:rsidRPr="00786E37">
        <w:rPr>
          <w:szCs w:val="24"/>
          <w:vertAlign w:val="subscript"/>
          <w:lang w:val="en-US"/>
        </w:rPr>
        <w:t>2</w:t>
      </w:r>
      <w:r w:rsidR="00825B1E" w:rsidRPr="001554A1">
        <w:rPr>
          <w:szCs w:val="24"/>
          <w:lang w:val="en-US"/>
        </w:rPr>
        <w:t xml:space="preserve">-TPR experiments. </w:t>
      </w:r>
      <w:r w:rsidR="00FE49DB" w:rsidRPr="00FE49DB">
        <w:rPr>
          <w:szCs w:val="24"/>
        </w:rPr>
        <w:t xml:space="preserve">To this end, ~150 mg of catalyst was loaded into a quartz U-tube connected to the analyzer and pretreated </w:t>
      </w:r>
      <w:r w:rsidR="00F807BC">
        <w:rPr>
          <w:szCs w:val="24"/>
        </w:rPr>
        <w:t>before the H</w:t>
      </w:r>
      <w:r w:rsidR="00F807BC" w:rsidRPr="00F807BC">
        <w:rPr>
          <w:szCs w:val="24"/>
          <w:vertAlign w:val="subscript"/>
        </w:rPr>
        <w:t>2</w:t>
      </w:r>
      <w:r w:rsidR="00F807BC">
        <w:rPr>
          <w:szCs w:val="24"/>
        </w:rPr>
        <w:t xml:space="preserve">-uptake measurement, </w:t>
      </w:r>
      <w:r w:rsidR="00FE49DB" w:rsidRPr="00FE49DB">
        <w:rPr>
          <w:szCs w:val="24"/>
        </w:rPr>
        <w:t xml:space="preserve">as follows: Reduction at 550 °C for 1 h with a flux of </w:t>
      </w:r>
      <w:r w:rsidR="00FE49DB">
        <w:rPr>
          <w:szCs w:val="24"/>
        </w:rPr>
        <w:t xml:space="preserve">15 mL/min </w:t>
      </w:r>
      <w:r w:rsidR="00FE49DB" w:rsidRPr="00FE49DB">
        <w:rPr>
          <w:szCs w:val="24"/>
        </w:rPr>
        <w:t>5% H</w:t>
      </w:r>
      <w:r w:rsidR="00FE49DB" w:rsidRPr="00FE49DB">
        <w:rPr>
          <w:szCs w:val="24"/>
          <w:vertAlign w:val="subscript"/>
        </w:rPr>
        <w:t>2</w:t>
      </w:r>
      <w:r w:rsidR="00FE49DB">
        <w:rPr>
          <w:szCs w:val="24"/>
        </w:rPr>
        <w:t>/</w:t>
      </w:r>
      <w:r w:rsidR="00FE49DB" w:rsidRPr="00FE49DB">
        <w:rPr>
          <w:szCs w:val="24"/>
        </w:rPr>
        <w:t xml:space="preserve">He, gas phase purging at the same temperature for 0.5 h by </w:t>
      </w:r>
      <w:r w:rsidR="00FE49DB">
        <w:rPr>
          <w:szCs w:val="24"/>
        </w:rPr>
        <w:t xml:space="preserve">a 15 mL/min </w:t>
      </w:r>
      <w:r w:rsidR="00FE49DB" w:rsidRPr="00FE49DB">
        <w:rPr>
          <w:szCs w:val="24"/>
        </w:rPr>
        <w:t>N</w:t>
      </w:r>
      <w:r w:rsidR="00FE49DB" w:rsidRPr="00FE49DB">
        <w:rPr>
          <w:szCs w:val="24"/>
          <w:vertAlign w:val="subscript"/>
        </w:rPr>
        <w:t>2</w:t>
      </w:r>
      <w:r w:rsidR="00FE49DB" w:rsidRPr="00FE49DB">
        <w:rPr>
          <w:szCs w:val="24"/>
        </w:rPr>
        <w:t xml:space="preserve"> flux and finally cooling </w:t>
      </w:r>
      <w:r w:rsidR="00FE49DB">
        <w:rPr>
          <w:szCs w:val="24"/>
        </w:rPr>
        <w:t>25</w:t>
      </w:r>
      <w:r w:rsidR="00FE49DB" w:rsidRPr="00FE49DB">
        <w:rPr>
          <w:szCs w:val="24"/>
        </w:rPr>
        <w:t xml:space="preserve"> °C under N</w:t>
      </w:r>
      <w:r w:rsidR="00FE49DB" w:rsidRPr="00FE49DB">
        <w:rPr>
          <w:szCs w:val="24"/>
          <w:vertAlign w:val="subscript"/>
        </w:rPr>
        <w:t>2</w:t>
      </w:r>
      <w:r w:rsidR="00FE49DB" w:rsidRPr="00FE49DB">
        <w:rPr>
          <w:szCs w:val="24"/>
        </w:rPr>
        <w:t xml:space="preserve"> flow. Pulses of pure </w:t>
      </w:r>
      <w:r w:rsidR="00DF0F4A">
        <w:rPr>
          <w:szCs w:val="24"/>
        </w:rPr>
        <w:t>H</w:t>
      </w:r>
      <w:r w:rsidR="00DF0F4A" w:rsidRPr="00DF0F4A">
        <w:rPr>
          <w:szCs w:val="24"/>
          <w:vertAlign w:val="subscript"/>
        </w:rPr>
        <w:t>2</w:t>
      </w:r>
      <w:r w:rsidR="00FE49DB" w:rsidRPr="00FE49DB">
        <w:rPr>
          <w:szCs w:val="24"/>
        </w:rPr>
        <w:t xml:space="preserve"> (280 μL) were then injected until saturation, providing the total uptake of chemisorbed </w:t>
      </w:r>
      <w:r w:rsidR="00DF0F4A">
        <w:rPr>
          <w:szCs w:val="24"/>
        </w:rPr>
        <w:t>H</w:t>
      </w:r>
      <w:r w:rsidR="00DF0F4A" w:rsidRPr="00DF0F4A">
        <w:rPr>
          <w:szCs w:val="24"/>
          <w:vertAlign w:val="subscript"/>
        </w:rPr>
        <w:t>2</w:t>
      </w:r>
      <w:r w:rsidR="00FE49DB" w:rsidRPr="00FE49DB">
        <w:rPr>
          <w:szCs w:val="24"/>
        </w:rPr>
        <w:t xml:space="preserve">. These values were used to estimate the number of active </w:t>
      </w:r>
      <w:r w:rsidR="00DF0F4A">
        <w:rPr>
          <w:szCs w:val="24"/>
        </w:rPr>
        <w:t>Ir</w:t>
      </w:r>
      <w:r w:rsidR="00FE49DB" w:rsidRPr="00FE49DB">
        <w:rPr>
          <w:szCs w:val="24"/>
        </w:rPr>
        <w:t xml:space="preserve"> sites</w:t>
      </w:r>
      <w:r w:rsidR="00DF0F4A">
        <w:rPr>
          <w:szCs w:val="24"/>
        </w:rPr>
        <w:t xml:space="preserve"> assuming one-to-one correlation of adsorbed H atoms with metal sites (i.e. H-Ir)</w:t>
      </w:r>
      <w:r w:rsidR="00FE49DB" w:rsidRPr="00FE49DB">
        <w:rPr>
          <w:szCs w:val="24"/>
        </w:rPr>
        <w:t xml:space="preserve">, and hence </w:t>
      </w:r>
      <w:r w:rsidR="00FE49DB">
        <w:rPr>
          <w:szCs w:val="24"/>
        </w:rPr>
        <w:t>Ir</w:t>
      </w:r>
      <w:r w:rsidR="00FE49DB" w:rsidRPr="00FE49DB">
        <w:rPr>
          <w:szCs w:val="24"/>
        </w:rPr>
        <w:t xml:space="preserve"> dispe</w:t>
      </w:r>
      <w:r w:rsidR="00FE49DB">
        <w:rPr>
          <w:szCs w:val="24"/>
        </w:rPr>
        <w:t>rsion and mean crystallite size</w:t>
      </w:r>
      <w:r w:rsidR="00FE49DB">
        <w:rPr>
          <w:szCs w:val="24"/>
          <w:lang w:val="en-US"/>
        </w:rPr>
        <w:t xml:space="preserve"> </w:t>
      </w:r>
      <w:r w:rsidR="00825B1E" w:rsidRPr="001554A1">
        <w:rPr>
          <w:szCs w:val="24"/>
          <w:lang w:val="en-US"/>
        </w:rPr>
        <w:t>(Goula et al., 2019)</w:t>
      </w:r>
      <w:r w:rsidR="00DF0F4A">
        <w:rPr>
          <w:szCs w:val="24"/>
          <w:lang w:val="en-US"/>
        </w:rPr>
        <w:t>.</w:t>
      </w:r>
    </w:p>
    <w:p w14:paraId="2C3FC4EE" w14:textId="33ABFE70" w:rsidR="007A3851" w:rsidRPr="00636B44" w:rsidRDefault="007A3851" w:rsidP="00EE610A">
      <w:pPr>
        <w:pStyle w:val="TITLE2"/>
        <w:tabs>
          <w:tab w:val="clear" w:pos="9498"/>
          <w:tab w:val="left" w:pos="2820"/>
        </w:tabs>
        <w:spacing w:before="500"/>
      </w:pPr>
      <w:r>
        <w:t>3</w:t>
      </w:r>
      <w:r w:rsidRPr="00636B44">
        <w:t xml:space="preserve">. </w:t>
      </w:r>
      <w:r w:rsidR="005F3DCE">
        <w:t>RESULTS</w:t>
      </w:r>
      <w:r w:rsidR="00730C88">
        <w:t xml:space="preserve"> AND DISCUSSION</w:t>
      </w:r>
    </w:p>
    <w:p w14:paraId="2572B860" w14:textId="6E994984" w:rsidR="007A3851" w:rsidRDefault="007A3851" w:rsidP="00EE610A">
      <w:pPr>
        <w:pStyle w:val="S09PARAGRAFISUCESSIVI"/>
        <w:spacing w:after="180"/>
        <w:ind w:firstLine="0"/>
        <w:rPr>
          <w:b/>
          <w:color w:val="000000"/>
        </w:rPr>
      </w:pPr>
      <w:r>
        <w:rPr>
          <w:b/>
          <w:color w:val="000000"/>
        </w:rPr>
        <w:t>3</w:t>
      </w:r>
      <w:r w:rsidRPr="007A3851">
        <w:rPr>
          <w:b/>
          <w:color w:val="000000"/>
        </w:rPr>
        <w:t xml:space="preserve">.1. </w:t>
      </w:r>
      <w:r w:rsidR="00C0519C">
        <w:rPr>
          <w:b/>
          <w:color w:val="000000"/>
        </w:rPr>
        <w:t>Materials</w:t>
      </w:r>
      <w:r w:rsidR="003C753A">
        <w:rPr>
          <w:b/>
          <w:color w:val="000000"/>
        </w:rPr>
        <w:t xml:space="preserve"> characterization results</w:t>
      </w:r>
    </w:p>
    <w:p w14:paraId="09A647EA" w14:textId="4450E3C0" w:rsidR="00C0519C" w:rsidRPr="00657570" w:rsidRDefault="00657570" w:rsidP="00496572">
      <w:pPr>
        <w:pStyle w:val="S09PARAGRAFISUCESSIVI"/>
        <w:spacing w:after="180"/>
        <w:ind w:firstLine="0"/>
        <w:rPr>
          <w:b/>
          <w:bCs/>
          <w:i/>
          <w:color w:val="000000"/>
        </w:rPr>
      </w:pPr>
      <w:r w:rsidRPr="00657570">
        <w:rPr>
          <w:b/>
          <w:bCs/>
          <w:i/>
          <w:color w:val="000000"/>
        </w:rPr>
        <w:t xml:space="preserve">3.1.1 Textural, structural and morphological </w:t>
      </w:r>
      <w:r w:rsidR="00C0519C" w:rsidRPr="00657570">
        <w:rPr>
          <w:b/>
          <w:bCs/>
          <w:i/>
          <w:color w:val="000000"/>
        </w:rPr>
        <w:t>characteristics</w:t>
      </w:r>
    </w:p>
    <w:p w14:paraId="49E37B4D" w14:textId="699EE5FE" w:rsidR="0026757D" w:rsidRDefault="003C753A" w:rsidP="008C6364">
      <w:pPr>
        <w:pStyle w:val="S09PARAGRAFISUCESSIVI"/>
        <w:spacing w:line="240" w:lineRule="auto"/>
        <w:ind w:firstLine="0"/>
        <w:rPr>
          <w:bCs/>
          <w:color w:val="000000"/>
          <w:lang w:val="en-US"/>
        </w:rPr>
      </w:pPr>
      <w:r>
        <w:rPr>
          <w:bCs/>
          <w:color w:val="000000"/>
        </w:rPr>
        <w:t xml:space="preserve">The textural characteristics of the prepared </w:t>
      </w:r>
      <w:r>
        <w:rPr>
          <w:bCs/>
          <w:color w:val="000000"/>
          <w:lang w:val="en-US"/>
        </w:rPr>
        <w:t xml:space="preserve">LSM perovskites and </w:t>
      </w:r>
      <w:proofErr w:type="spellStart"/>
      <w:r>
        <w:rPr>
          <w:bCs/>
          <w:color w:val="000000"/>
          <w:lang w:val="en-US"/>
        </w:rPr>
        <w:t>Ir</w:t>
      </w:r>
      <w:proofErr w:type="spellEnd"/>
      <w:r>
        <w:rPr>
          <w:bCs/>
          <w:color w:val="000000"/>
          <w:lang w:val="en-US"/>
        </w:rPr>
        <w:t xml:space="preserve">-LSM catalysts are summarized in Table 1. The </w:t>
      </w:r>
      <w:r w:rsidR="00657570">
        <w:rPr>
          <w:bCs/>
          <w:color w:val="000000"/>
          <w:lang w:val="en-US"/>
        </w:rPr>
        <w:t>total surface area</w:t>
      </w:r>
      <w:r w:rsidR="00C0519C">
        <w:rPr>
          <w:bCs/>
          <w:color w:val="000000"/>
          <w:lang w:val="en-US"/>
        </w:rPr>
        <w:t xml:space="preserve"> (</w:t>
      </w:r>
      <w:r>
        <w:rPr>
          <w:bCs/>
          <w:color w:val="000000"/>
          <w:lang w:val="en-US"/>
        </w:rPr>
        <w:t>S</w:t>
      </w:r>
      <w:r>
        <w:rPr>
          <w:bCs/>
          <w:color w:val="000000"/>
          <w:vertAlign w:val="subscript"/>
          <w:lang w:val="en-US"/>
        </w:rPr>
        <w:t>BET</w:t>
      </w:r>
      <w:r w:rsidR="00C0519C">
        <w:rPr>
          <w:bCs/>
          <w:color w:val="000000"/>
          <w:lang w:val="en-US"/>
        </w:rPr>
        <w:t>)</w:t>
      </w:r>
      <w:r>
        <w:rPr>
          <w:bCs/>
          <w:color w:val="000000"/>
          <w:vertAlign w:val="subscript"/>
          <w:lang w:val="en-US"/>
        </w:rPr>
        <w:t xml:space="preserve"> </w:t>
      </w:r>
      <w:r>
        <w:rPr>
          <w:bCs/>
          <w:color w:val="000000"/>
          <w:lang w:val="en-US"/>
        </w:rPr>
        <w:t xml:space="preserve">of </w:t>
      </w:r>
      <w:r w:rsidR="00C0519C">
        <w:rPr>
          <w:bCs/>
          <w:color w:val="000000"/>
          <w:lang w:val="en-US"/>
        </w:rPr>
        <w:t>the perovskite supports</w:t>
      </w:r>
      <w:r>
        <w:rPr>
          <w:bCs/>
          <w:color w:val="000000"/>
          <w:lang w:val="en-US"/>
        </w:rPr>
        <w:t xml:space="preserve"> </w:t>
      </w:r>
      <w:r w:rsidR="00657570">
        <w:rPr>
          <w:bCs/>
          <w:color w:val="000000"/>
          <w:lang w:val="en-US"/>
        </w:rPr>
        <w:t>is</w:t>
      </w:r>
      <w:r w:rsidR="00C0519C">
        <w:rPr>
          <w:bCs/>
          <w:color w:val="000000"/>
          <w:lang w:val="en-US"/>
        </w:rPr>
        <w:t xml:space="preserve"> ranging from 6.8</w:t>
      </w:r>
      <w:r>
        <w:rPr>
          <w:bCs/>
          <w:color w:val="000000"/>
          <w:lang w:val="en-US"/>
        </w:rPr>
        <w:t xml:space="preserve"> to 12.0 m</w:t>
      </w:r>
      <w:r>
        <w:rPr>
          <w:bCs/>
          <w:color w:val="000000"/>
          <w:vertAlign w:val="superscript"/>
          <w:lang w:val="en-US"/>
        </w:rPr>
        <w:t>2</w:t>
      </w:r>
      <w:r>
        <w:rPr>
          <w:bCs/>
          <w:color w:val="000000"/>
          <w:lang w:val="en-US"/>
        </w:rPr>
        <w:t xml:space="preserve">/g while a slight decrease </w:t>
      </w:r>
      <w:r w:rsidR="00657570">
        <w:rPr>
          <w:bCs/>
          <w:color w:val="000000"/>
          <w:lang w:val="en-US"/>
        </w:rPr>
        <w:t>in</w:t>
      </w:r>
      <w:r>
        <w:rPr>
          <w:bCs/>
          <w:color w:val="000000"/>
          <w:lang w:val="en-US"/>
        </w:rPr>
        <w:t xml:space="preserve"> </w:t>
      </w:r>
      <w:r w:rsidR="00657570">
        <w:rPr>
          <w:bCs/>
          <w:color w:val="000000"/>
          <w:lang w:val="en-US"/>
        </w:rPr>
        <w:t>S</w:t>
      </w:r>
      <w:r w:rsidR="00657570" w:rsidRPr="00657570">
        <w:rPr>
          <w:bCs/>
          <w:color w:val="000000"/>
          <w:vertAlign w:val="subscript"/>
          <w:lang w:val="en-US"/>
        </w:rPr>
        <w:t>BET</w:t>
      </w:r>
      <w:r>
        <w:rPr>
          <w:bCs/>
          <w:color w:val="000000"/>
          <w:lang w:val="en-US"/>
        </w:rPr>
        <w:t xml:space="preserve"> is </w:t>
      </w:r>
      <w:r w:rsidR="008C6364">
        <w:rPr>
          <w:bCs/>
          <w:color w:val="000000"/>
          <w:lang w:val="en-US"/>
        </w:rPr>
        <w:t>the</w:t>
      </w:r>
      <w:r w:rsidR="00657570">
        <w:rPr>
          <w:bCs/>
          <w:color w:val="000000"/>
          <w:lang w:val="en-US"/>
        </w:rPr>
        <w:t xml:space="preserve"> </w:t>
      </w:r>
      <w:r w:rsidR="00C0519C">
        <w:rPr>
          <w:bCs/>
          <w:color w:val="000000"/>
          <w:lang w:val="en-US"/>
        </w:rPr>
        <w:t>result</w:t>
      </w:r>
      <w:r w:rsidR="008C6364">
        <w:rPr>
          <w:bCs/>
          <w:color w:val="000000"/>
          <w:lang w:val="en-US"/>
        </w:rPr>
        <w:t xml:space="preserve"> of the addition of</w:t>
      </w:r>
      <w:r>
        <w:rPr>
          <w:bCs/>
          <w:color w:val="000000"/>
          <w:lang w:val="en-US"/>
        </w:rPr>
        <w:t xml:space="preserve"> iridium. </w:t>
      </w:r>
    </w:p>
    <w:p w14:paraId="4BDB9511" w14:textId="6210FD02" w:rsidR="003C753A" w:rsidRDefault="008C6364" w:rsidP="0026757D">
      <w:pPr>
        <w:pStyle w:val="S09PARAGRAFISUCESSIVI"/>
        <w:spacing w:line="240" w:lineRule="auto"/>
        <w:ind w:firstLine="270"/>
        <w:rPr>
          <w:bCs/>
          <w:color w:val="000000"/>
          <w:lang w:val="en-US"/>
        </w:rPr>
      </w:pPr>
      <w:r>
        <w:rPr>
          <w:bCs/>
          <w:color w:val="000000"/>
          <w:lang w:val="en-US"/>
        </w:rPr>
        <w:t xml:space="preserve">The </w:t>
      </w:r>
      <w:r w:rsidR="00657570">
        <w:rPr>
          <w:bCs/>
          <w:color w:val="000000"/>
          <w:lang w:val="en-US"/>
        </w:rPr>
        <w:t>P</w:t>
      </w:r>
      <w:r w:rsidR="00131388">
        <w:rPr>
          <w:bCs/>
          <w:color w:val="000000"/>
          <w:lang w:val="en-US"/>
        </w:rPr>
        <w:t xml:space="preserve">XRD </w:t>
      </w:r>
      <w:r w:rsidR="00657570">
        <w:rPr>
          <w:bCs/>
          <w:color w:val="000000"/>
          <w:lang w:val="en-US"/>
        </w:rPr>
        <w:t>data</w:t>
      </w:r>
      <w:r w:rsidR="00131388">
        <w:rPr>
          <w:bCs/>
          <w:color w:val="000000"/>
          <w:lang w:val="en-US"/>
        </w:rPr>
        <w:t xml:space="preserve"> </w:t>
      </w:r>
      <w:r w:rsidR="00657570">
        <w:rPr>
          <w:bCs/>
          <w:color w:val="000000"/>
          <w:lang w:val="en-US"/>
        </w:rPr>
        <w:t xml:space="preserve">of LSM supports and counterpart </w:t>
      </w:r>
      <w:proofErr w:type="spellStart"/>
      <w:r w:rsidR="00657570">
        <w:rPr>
          <w:bCs/>
          <w:color w:val="000000"/>
          <w:lang w:val="en-US"/>
        </w:rPr>
        <w:t>Ir</w:t>
      </w:r>
      <w:proofErr w:type="spellEnd"/>
      <w:r w:rsidR="00657570">
        <w:rPr>
          <w:bCs/>
          <w:color w:val="000000"/>
          <w:lang w:val="en-US"/>
        </w:rPr>
        <w:t xml:space="preserve">/LSM catalysts </w:t>
      </w:r>
      <w:r w:rsidR="00B94435">
        <w:rPr>
          <w:bCs/>
          <w:color w:val="000000"/>
          <w:lang w:val="en-US"/>
        </w:rPr>
        <w:t xml:space="preserve">are </w:t>
      </w:r>
      <w:r w:rsidR="00657570">
        <w:rPr>
          <w:bCs/>
          <w:color w:val="000000"/>
          <w:lang w:val="en-US"/>
        </w:rPr>
        <w:t>shown</w:t>
      </w:r>
      <w:r w:rsidR="00B94435">
        <w:rPr>
          <w:bCs/>
          <w:color w:val="000000"/>
          <w:lang w:val="en-US"/>
        </w:rPr>
        <w:t xml:space="preserve"> in Fig</w:t>
      </w:r>
      <w:r w:rsidR="00657570">
        <w:rPr>
          <w:bCs/>
          <w:color w:val="000000"/>
          <w:lang w:val="en-US"/>
        </w:rPr>
        <w:t>.</w:t>
      </w:r>
      <w:r w:rsidR="00B94435">
        <w:rPr>
          <w:bCs/>
          <w:color w:val="000000"/>
          <w:lang w:val="en-US"/>
        </w:rPr>
        <w:t xml:space="preserve"> </w:t>
      </w:r>
      <w:r w:rsidR="00657570">
        <w:rPr>
          <w:bCs/>
          <w:color w:val="000000"/>
          <w:lang w:val="en-US"/>
        </w:rPr>
        <w:t>1</w:t>
      </w:r>
      <w:r w:rsidR="00B94435">
        <w:rPr>
          <w:bCs/>
          <w:color w:val="000000"/>
          <w:lang w:val="en-US"/>
        </w:rPr>
        <w:t>.</w:t>
      </w:r>
      <w:r w:rsidR="00496572" w:rsidRPr="00496572">
        <w:rPr>
          <w:bCs/>
          <w:color w:val="000000"/>
          <w:lang w:val="en-US"/>
        </w:rPr>
        <w:t xml:space="preserve"> </w:t>
      </w:r>
      <w:r w:rsidR="00F31CEE">
        <w:rPr>
          <w:bCs/>
          <w:color w:val="000000"/>
          <w:lang w:val="en-US"/>
        </w:rPr>
        <w:t xml:space="preserve">For the sake </w:t>
      </w:r>
      <w:r w:rsidR="00F31CEE" w:rsidRPr="006F70C3">
        <w:rPr>
          <w:bCs/>
          <w:color w:val="000000"/>
          <w:lang w:val="en-US"/>
        </w:rPr>
        <w:t xml:space="preserve">of comparison all samples were pre-oxidized before PXRD experiments. </w:t>
      </w:r>
      <w:r w:rsidR="00F70B83" w:rsidRPr="006F70C3">
        <w:rPr>
          <w:bCs/>
          <w:color w:val="000000"/>
          <w:lang w:val="en-US"/>
        </w:rPr>
        <w:t xml:space="preserve">The diffraction </w:t>
      </w:r>
      <w:r w:rsidR="00F70B83" w:rsidRPr="006F70C3">
        <w:rPr>
          <w:bCs/>
          <w:color w:val="000000"/>
          <w:lang w:val="en-US"/>
        </w:rPr>
        <w:lastRenderedPageBreak/>
        <w:t xml:space="preserve">patterns </w:t>
      </w:r>
      <w:r>
        <w:rPr>
          <w:bCs/>
          <w:color w:val="000000"/>
          <w:lang w:val="en-US"/>
        </w:rPr>
        <w:t xml:space="preserve">shown in </w:t>
      </w:r>
      <w:r w:rsidR="00F31CEE" w:rsidRPr="006F70C3">
        <w:rPr>
          <w:bCs/>
          <w:color w:val="000000"/>
          <w:lang w:val="en-US"/>
        </w:rPr>
        <w:t xml:space="preserve">Fig. 1 </w:t>
      </w:r>
      <w:r w:rsidR="00F70B83" w:rsidRPr="006F70C3">
        <w:rPr>
          <w:bCs/>
          <w:color w:val="000000"/>
          <w:lang w:val="en-US"/>
        </w:rPr>
        <w:t>confirm the formation of the LSM perovskite structure</w:t>
      </w:r>
      <w:r w:rsidR="0080203C" w:rsidRPr="006F70C3">
        <w:rPr>
          <w:bCs/>
          <w:color w:val="000000"/>
          <w:lang w:val="en-US"/>
        </w:rPr>
        <w:t xml:space="preserve">, </w:t>
      </w:r>
      <w:r w:rsidR="00F70B83" w:rsidRPr="006F70C3">
        <w:rPr>
          <w:bCs/>
          <w:color w:val="000000"/>
          <w:lang w:val="en-US"/>
        </w:rPr>
        <w:t>with the main reflection at 2</w:t>
      </w:r>
      <w:r w:rsidR="00F70B83" w:rsidRPr="006F70C3">
        <w:rPr>
          <w:bCs/>
          <w:color w:val="000000"/>
          <w:lang w:val="el-GR"/>
        </w:rPr>
        <w:t>θ</w:t>
      </w:r>
      <w:r w:rsidR="0080203C" w:rsidRPr="006F70C3">
        <w:rPr>
          <w:bCs/>
          <w:color w:val="000000"/>
          <w:lang w:val="en-US"/>
        </w:rPr>
        <w:t xml:space="preserve"> between </w:t>
      </w:r>
      <w:r w:rsidR="00F70B83" w:rsidRPr="006F70C3">
        <w:rPr>
          <w:bCs/>
          <w:color w:val="000000"/>
          <w:lang w:val="en-US"/>
        </w:rPr>
        <w:t>32.4</w:t>
      </w:r>
      <w:r w:rsidR="0080203C" w:rsidRPr="006F70C3">
        <w:rPr>
          <w:bCs/>
          <w:color w:val="000000"/>
          <w:lang w:val="en-US"/>
        </w:rPr>
        <w:t xml:space="preserve"> and 33.1</w:t>
      </w:r>
      <w:r w:rsidR="00F31CEE" w:rsidRPr="006F70C3">
        <w:rPr>
          <w:bCs/>
          <w:color w:val="000000"/>
          <w:lang w:val="en-US"/>
        </w:rPr>
        <w:t>,</w:t>
      </w:r>
      <w:r w:rsidR="0080203C" w:rsidRPr="006F70C3">
        <w:rPr>
          <w:bCs/>
          <w:color w:val="000000"/>
          <w:lang w:val="en-US"/>
        </w:rPr>
        <w:t xml:space="preserve"> since the </w:t>
      </w:r>
      <w:r w:rsidR="00496572" w:rsidRPr="006F70C3">
        <w:rPr>
          <w:bCs/>
          <w:color w:val="000000"/>
          <w:lang w:val="en-US"/>
        </w:rPr>
        <w:t>increase of Sr content results in the shift of the peaks at higher 2</w:t>
      </w:r>
      <w:r w:rsidR="00496572" w:rsidRPr="006F70C3">
        <w:rPr>
          <w:bCs/>
          <w:color w:val="000000"/>
          <w:lang w:val="el-GR"/>
        </w:rPr>
        <w:t>θ</w:t>
      </w:r>
      <w:r w:rsidR="00496572" w:rsidRPr="006F70C3">
        <w:rPr>
          <w:bCs/>
          <w:color w:val="000000"/>
          <w:lang w:val="en-US"/>
        </w:rPr>
        <w:t xml:space="preserve"> angle</w:t>
      </w:r>
      <w:r w:rsidR="0080203C" w:rsidRPr="006F70C3">
        <w:rPr>
          <w:bCs/>
          <w:color w:val="000000"/>
          <w:lang w:val="en-US"/>
        </w:rPr>
        <w:t>s</w:t>
      </w:r>
      <w:r w:rsidR="00F31CEE" w:rsidRPr="006F70C3">
        <w:rPr>
          <w:bCs/>
          <w:color w:val="000000"/>
          <w:lang w:val="en-US"/>
        </w:rPr>
        <w:t xml:space="preserve">; </w:t>
      </w:r>
      <w:r w:rsidR="00496572" w:rsidRPr="006F70C3">
        <w:rPr>
          <w:bCs/>
          <w:color w:val="000000"/>
          <w:lang w:val="en-US"/>
        </w:rPr>
        <w:t xml:space="preserve">a peak splitting is </w:t>
      </w:r>
      <w:r w:rsidR="00F31CEE" w:rsidRPr="006F70C3">
        <w:rPr>
          <w:bCs/>
          <w:color w:val="000000"/>
          <w:lang w:val="en-US"/>
        </w:rPr>
        <w:t xml:space="preserve">also </w:t>
      </w:r>
      <w:r w:rsidR="00496572" w:rsidRPr="006F70C3">
        <w:rPr>
          <w:bCs/>
          <w:color w:val="000000"/>
          <w:lang w:val="en-US"/>
        </w:rPr>
        <w:t xml:space="preserve">observed </w:t>
      </w:r>
      <w:r w:rsidR="00F31CEE" w:rsidRPr="006F70C3">
        <w:rPr>
          <w:bCs/>
          <w:color w:val="000000"/>
          <w:lang w:val="en-US"/>
        </w:rPr>
        <w:t xml:space="preserve">(Fig. 1b) </w:t>
      </w:r>
      <w:r w:rsidR="00496572" w:rsidRPr="006F70C3">
        <w:rPr>
          <w:bCs/>
          <w:color w:val="000000"/>
          <w:lang w:val="en-US"/>
        </w:rPr>
        <w:t>which tends to decrease as the substitution of La by Sr increases</w:t>
      </w:r>
      <w:r w:rsidR="006F70C3" w:rsidRPr="006F70C3">
        <w:rPr>
          <w:bCs/>
          <w:color w:val="000000"/>
          <w:lang w:val="en-US"/>
        </w:rPr>
        <w:t xml:space="preserve">. </w:t>
      </w:r>
      <w:r w:rsidR="00496572" w:rsidRPr="006F70C3">
        <w:rPr>
          <w:bCs/>
          <w:color w:val="000000"/>
          <w:lang w:val="en-US"/>
        </w:rPr>
        <w:t>Finally, in addition to the pero</w:t>
      </w:r>
      <w:r w:rsidR="002352AE" w:rsidRPr="006F70C3">
        <w:rPr>
          <w:bCs/>
          <w:color w:val="000000"/>
          <w:lang w:val="en-US"/>
        </w:rPr>
        <w:t>v</w:t>
      </w:r>
      <w:r w:rsidR="00496572" w:rsidRPr="006F70C3">
        <w:rPr>
          <w:bCs/>
          <w:color w:val="000000"/>
          <w:lang w:val="en-US"/>
        </w:rPr>
        <w:t>s</w:t>
      </w:r>
      <w:r w:rsidR="002352AE" w:rsidRPr="006F70C3">
        <w:rPr>
          <w:bCs/>
          <w:color w:val="000000"/>
          <w:lang w:val="en-US"/>
        </w:rPr>
        <w:t>k</w:t>
      </w:r>
      <w:r w:rsidR="00496572" w:rsidRPr="006F70C3">
        <w:rPr>
          <w:bCs/>
          <w:color w:val="000000"/>
          <w:lang w:val="en-US"/>
        </w:rPr>
        <w:t>it</w:t>
      </w:r>
      <w:r w:rsidR="0016777C" w:rsidRPr="006F70C3">
        <w:rPr>
          <w:bCs/>
          <w:color w:val="000000"/>
          <w:lang w:val="en-US"/>
        </w:rPr>
        <w:t>e</w:t>
      </w:r>
      <w:r w:rsidR="00F31CEE" w:rsidRPr="006F70C3">
        <w:rPr>
          <w:bCs/>
          <w:color w:val="000000"/>
          <w:lang w:val="en-US"/>
        </w:rPr>
        <w:t xml:space="preserve"> structure</w:t>
      </w:r>
      <w:r w:rsidR="00496572" w:rsidRPr="006F70C3">
        <w:rPr>
          <w:bCs/>
          <w:color w:val="000000"/>
          <w:lang w:val="en-US"/>
        </w:rPr>
        <w:t xml:space="preserve">, the presence of other crystalline phases such as La and Mn </w:t>
      </w:r>
      <w:r w:rsidR="0080203C" w:rsidRPr="006F70C3">
        <w:rPr>
          <w:bCs/>
          <w:color w:val="000000"/>
          <w:lang w:val="en-US"/>
        </w:rPr>
        <w:t>oxides</w:t>
      </w:r>
      <w:r w:rsidR="003E6ABA" w:rsidRPr="006F70C3">
        <w:rPr>
          <w:bCs/>
          <w:color w:val="000000"/>
          <w:lang w:val="en-US"/>
        </w:rPr>
        <w:t xml:space="preserve"> </w:t>
      </w:r>
      <w:r w:rsidR="0026757D" w:rsidRPr="006F70C3">
        <w:rPr>
          <w:bCs/>
          <w:color w:val="000000"/>
          <w:lang w:val="en-US"/>
        </w:rPr>
        <w:t xml:space="preserve">are also </w:t>
      </w:r>
      <w:r w:rsidR="0016777C" w:rsidRPr="006F70C3">
        <w:rPr>
          <w:bCs/>
          <w:color w:val="000000"/>
          <w:lang w:val="en-US"/>
        </w:rPr>
        <w:t>apparent</w:t>
      </w:r>
      <w:r w:rsidR="00496572" w:rsidRPr="006F70C3">
        <w:rPr>
          <w:bCs/>
          <w:color w:val="000000"/>
          <w:lang w:val="en-US"/>
        </w:rPr>
        <w:t xml:space="preserve">. </w:t>
      </w:r>
      <w:r w:rsidR="006F70C3" w:rsidRPr="006F70C3">
        <w:rPr>
          <w:bCs/>
          <w:color w:val="000000"/>
          <w:lang w:val="en-US"/>
        </w:rPr>
        <w:t xml:space="preserve">The results are in agreement with literature (Galvez et al., 2015). </w:t>
      </w:r>
      <w:r w:rsidR="00EE2E3D" w:rsidRPr="006F70C3">
        <w:rPr>
          <w:bCs/>
          <w:color w:val="000000"/>
          <w:lang w:val="en-US"/>
        </w:rPr>
        <w:t>Due to its high</w:t>
      </w:r>
      <w:r w:rsidR="00EE2E3D">
        <w:rPr>
          <w:bCs/>
          <w:color w:val="000000"/>
          <w:lang w:val="en-US"/>
        </w:rPr>
        <w:t xml:space="preserve"> dispersion (low </w:t>
      </w:r>
      <w:r w:rsidR="006F70C3">
        <w:rPr>
          <w:bCs/>
          <w:color w:val="000000"/>
          <w:lang w:val="en-US"/>
        </w:rPr>
        <w:t>particle size) IrO</w:t>
      </w:r>
      <w:r w:rsidR="006F70C3" w:rsidRPr="008C6364">
        <w:rPr>
          <w:bCs/>
          <w:color w:val="000000"/>
          <w:vertAlign w:val="subscript"/>
          <w:lang w:val="en-US"/>
        </w:rPr>
        <w:t>2</w:t>
      </w:r>
      <w:r w:rsidR="006F70C3">
        <w:rPr>
          <w:bCs/>
          <w:color w:val="000000"/>
          <w:lang w:val="en-US"/>
        </w:rPr>
        <w:t xml:space="preserve"> was not detected by PXRD.</w:t>
      </w:r>
    </w:p>
    <w:p w14:paraId="70EA4BAB" w14:textId="7680415E" w:rsidR="008C6364" w:rsidRDefault="008C6364" w:rsidP="0026757D">
      <w:pPr>
        <w:pStyle w:val="S09PARAGRAFISUCESSIVI"/>
        <w:spacing w:line="240" w:lineRule="auto"/>
        <w:ind w:firstLine="270"/>
        <w:rPr>
          <w:bCs/>
          <w:color w:val="000000"/>
          <w:lang w:val="en-US"/>
        </w:rPr>
      </w:pPr>
      <w:r w:rsidRPr="008C6364">
        <w:rPr>
          <w:bCs/>
          <w:color w:val="000000"/>
          <w:lang w:val="en-US"/>
        </w:rPr>
        <w:t xml:space="preserve">LSM supports and corresponding </w:t>
      </w:r>
      <w:proofErr w:type="spellStart"/>
      <w:r w:rsidRPr="008C6364">
        <w:rPr>
          <w:bCs/>
          <w:color w:val="000000"/>
          <w:lang w:val="en-US"/>
        </w:rPr>
        <w:t>Ir</w:t>
      </w:r>
      <w:proofErr w:type="spellEnd"/>
      <w:r w:rsidRPr="008C6364">
        <w:rPr>
          <w:bCs/>
          <w:color w:val="000000"/>
          <w:lang w:val="en-US"/>
        </w:rPr>
        <w:t xml:space="preserve">/LSM catalysts offer high values of oxygen storage capacity in the range of </w:t>
      </w:r>
      <w:r w:rsidR="00E12197">
        <w:rPr>
          <w:bCs/>
          <w:color w:val="000000"/>
          <w:lang w:val="en-US"/>
        </w:rPr>
        <w:t>ca</w:t>
      </w:r>
      <w:r w:rsidR="00E12197" w:rsidRPr="00227025">
        <w:rPr>
          <w:bCs/>
          <w:lang w:val="en-US"/>
        </w:rPr>
        <w:t>. 500</w:t>
      </w:r>
      <w:r w:rsidRPr="00227025">
        <w:rPr>
          <w:bCs/>
          <w:lang w:val="en-US"/>
        </w:rPr>
        <w:t xml:space="preserve"> to </w:t>
      </w:r>
      <w:r w:rsidR="00E12197" w:rsidRPr="00227025">
        <w:rPr>
          <w:bCs/>
          <w:lang w:val="en-US"/>
        </w:rPr>
        <w:t>1350</w:t>
      </w:r>
      <w:r w:rsidRPr="00227025">
        <w:rPr>
          <w:bCs/>
          <w:lang w:val="en-US"/>
        </w:rPr>
        <w:t xml:space="preserve"> </w:t>
      </w:r>
      <w:proofErr w:type="spellStart"/>
      <w:r w:rsidRPr="00227025">
        <w:rPr>
          <w:bCs/>
          <w:lang w:val="en-US"/>
        </w:rPr>
        <w:t>μmol</w:t>
      </w:r>
      <w:proofErr w:type="spellEnd"/>
      <w:r w:rsidRPr="00227025">
        <w:rPr>
          <w:bCs/>
          <w:lang w:val="en-US"/>
        </w:rPr>
        <w:t xml:space="preserve"> O</w:t>
      </w:r>
      <w:r w:rsidRPr="00227025">
        <w:rPr>
          <w:bCs/>
          <w:vertAlign w:val="subscript"/>
          <w:lang w:val="en-US"/>
        </w:rPr>
        <w:t>2</w:t>
      </w:r>
      <w:r w:rsidRPr="00227025">
        <w:rPr>
          <w:bCs/>
          <w:lang w:val="en-US"/>
        </w:rPr>
        <w:t>/g, which increase gradually as La's substitution by Sr increases (Table 1)</w:t>
      </w:r>
      <w:r w:rsidR="005429CB" w:rsidRPr="00227025">
        <w:rPr>
          <w:bCs/>
          <w:lang w:val="en-US"/>
        </w:rPr>
        <w:t xml:space="preserve">. </w:t>
      </w:r>
      <w:r w:rsidR="00E12197" w:rsidRPr="00227025">
        <w:rPr>
          <w:bCs/>
          <w:lang w:val="en-US"/>
        </w:rPr>
        <w:t xml:space="preserve">Total OSC values, as estimated </w:t>
      </w:r>
      <w:r w:rsidR="00E12197" w:rsidRPr="00E12197">
        <w:rPr>
          <w:bCs/>
          <w:color w:val="000000"/>
          <w:lang w:val="en-US"/>
        </w:rPr>
        <w:t>by H</w:t>
      </w:r>
      <w:r w:rsidR="00E12197" w:rsidRPr="00E12197">
        <w:rPr>
          <w:bCs/>
          <w:color w:val="000000"/>
          <w:vertAlign w:val="subscript"/>
          <w:lang w:val="en-US"/>
        </w:rPr>
        <w:t>2</w:t>
      </w:r>
      <w:r w:rsidR="00E12197" w:rsidRPr="00E12197">
        <w:rPr>
          <w:bCs/>
          <w:color w:val="000000"/>
          <w:lang w:val="en-US"/>
        </w:rPr>
        <w:t>-TPR experiments and corresponding to the total available un</w:t>
      </w:r>
      <w:r w:rsidR="00E12197">
        <w:rPr>
          <w:bCs/>
          <w:color w:val="000000"/>
          <w:lang w:val="en-US"/>
        </w:rPr>
        <w:t>stable oxygen species up to 750°</w:t>
      </w:r>
      <w:r w:rsidR="00E12197" w:rsidRPr="00E12197">
        <w:rPr>
          <w:bCs/>
          <w:color w:val="000000"/>
          <w:lang w:val="en-US"/>
        </w:rPr>
        <w:t xml:space="preserve">C, </w:t>
      </w:r>
      <w:r w:rsidR="00E12197">
        <w:rPr>
          <w:bCs/>
          <w:color w:val="000000"/>
          <w:lang w:val="en-US"/>
        </w:rPr>
        <w:t>are originating from the redox reactions Mn</w:t>
      </w:r>
      <w:r w:rsidR="00E12197" w:rsidRPr="00E12197">
        <w:rPr>
          <w:bCs/>
          <w:color w:val="000000"/>
          <w:vertAlign w:val="superscript"/>
          <w:lang w:val="en-US"/>
        </w:rPr>
        <w:t>4+</w:t>
      </w:r>
      <w:r w:rsidR="00E12197">
        <w:rPr>
          <w:bCs/>
          <w:color w:val="000000"/>
          <w:lang w:val="en-US"/>
        </w:rPr>
        <w:t>/M</w:t>
      </w:r>
      <w:r w:rsidR="00E12197" w:rsidRPr="00E12197">
        <w:rPr>
          <w:bCs/>
          <w:color w:val="000000"/>
          <w:vertAlign w:val="superscript"/>
          <w:lang w:val="en-US"/>
        </w:rPr>
        <w:t>3+</w:t>
      </w:r>
      <w:r w:rsidR="00E12197" w:rsidRPr="00E12197">
        <w:rPr>
          <w:bCs/>
          <w:color w:val="000000"/>
          <w:lang w:val="en-US"/>
        </w:rPr>
        <w:t xml:space="preserve"> (usuall</w:t>
      </w:r>
      <w:r w:rsidR="00227025">
        <w:rPr>
          <w:bCs/>
          <w:color w:val="000000"/>
          <w:lang w:val="en-US"/>
        </w:rPr>
        <w:t>y occurring at T &lt;500°</w:t>
      </w:r>
      <w:r w:rsidR="00E12197">
        <w:rPr>
          <w:bCs/>
          <w:color w:val="000000"/>
          <w:lang w:val="en-US"/>
        </w:rPr>
        <w:t>C), Mn</w:t>
      </w:r>
      <w:r w:rsidR="00E12197" w:rsidRPr="00E12197">
        <w:rPr>
          <w:bCs/>
          <w:color w:val="000000"/>
          <w:vertAlign w:val="superscript"/>
          <w:lang w:val="en-US"/>
        </w:rPr>
        <w:t>3+</w:t>
      </w:r>
      <w:r w:rsidR="00E12197" w:rsidRPr="00E12197">
        <w:rPr>
          <w:bCs/>
          <w:color w:val="000000"/>
          <w:lang w:val="en-US"/>
        </w:rPr>
        <w:t xml:space="preserve">/ </w:t>
      </w:r>
      <w:r w:rsidR="00E12197">
        <w:rPr>
          <w:bCs/>
          <w:color w:val="000000"/>
          <w:lang w:val="en-US"/>
        </w:rPr>
        <w:t>Mn</w:t>
      </w:r>
      <w:r w:rsidR="00E12197" w:rsidRPr="00E12197">
        <w:rPr>
          <w:bCs/>
          <w:color w:val="000000"/>
          <w:vertAlign w:val="superscript"/>
          <w:lang w:val="en-US"/>
        </w:rPr>
        <w:t>2+</w:t>
      </w:r>
      <w:r w:rsidR="00E12197">
        <w:rPr>
          <w:bCs/>
          <w:color w:val="000000"/>
          <w:lang w:val="en-US"/>
        </w:rPr>
        <w:t xml:space="preserve"> (T&gt; 500</w:t>
      </w:r>
      <w:r w:rsidR="00E12197" w:rsidRPr="00227025">
        <w:rPr>
          <w:bCs/>
          <w:color w:val="000000"/>
          <w:vertAlign w:val="superscript"/>
          <w:lang w:val="en-US"/>
        </w:rPr>
        <w:t>o</w:t>
      </w:r>
      <w:r w:rsidR="00E12197">
        <w:rPr>
          <w:bCs/>
          <w:color w:val="000000"/>
          <w:lang w:val="en-US"/>
        </w:rPr>
        <w:t>C), and Ir</w:t>
      </w:r>
      <w:r w:rsidR="00E12197" w:rsidRPr="00E12197">
        <w:rPr>
          <w:bCs/>
          <w:color w:val="000000"/>
          <w:vertAlign w:val="superscript"/>
          <w:lang w:val="en-US"/>
        </w:rPr>
        <w:t>4+</w:t>
      </w:r>
      <w:r w:rsidR="00E12197">
        <w:rPr>
          <w:bCs/>
          <w:color w:val="000000"/>
          <w:lang w:val="en-US"/>
        </w:rPr>
        <w:t>/</w:t>
      </w:r>
      <w:r w:rsidR="00E12197" w:rsidRPr="00E12197">
        <w:rPr>
          <w:bCs/>
          <w:color w:val="000000"/>
          <w:lang w:val="en-US"/>
        </w:rPr>
        <w:t>Ir</w:t>
      </w:r>
      <w:r w:rsidR="00E12197" w:rsidRPr="00E12197">
        <w:rPr>
          <w:bCs/>
          <w:color w:val="000000"/>
          <w:vertAlign w:val="superscript"/>
          <w:lang w:val="en-US"/>
        </w:rPr>
        <w:t>0</w:t>
      </w:r>
      <w:r w:rsidR="00E12197" w:rsidRPr="00E12197">
        <w:rPr>
          <w:bCs/>
          <w:color w:val="000000"/>
          <w:lang w:val="en-US"/>
        </w:rPr>
        <w:t xml:space="preserve"> (</w:t>
      </w:r>
      <w:r w:rsidR="00227025">
        <w:rPr>
          <w:bCs/>
          <w:color w:val="000000"/>
          <w:lang w:val="en-US"/>
        </w:rPr>
        <w:t xml:space="preserve">if present, at </w:t>
      </w:r>
      <w:r w:rsidR="00E12197" w:rsidRPr="00E12197">
        <w:rPr>
          <w:bCs/>
          <w:color w:val="000000"/>
          <w:lang w:val="en-US"/>
        </w:rPr>
        <w:t>T &lt;~ 300</w:t>
      </w:r>
      <w:r w:rsidR="00E12197" w:rsidRPr="00227025">
        <w:rPr>
          <w:bCs/>
          <w:color w:val="000000"/>
          <w:vertAlign w:val="superscript"/>
          <w:lang w:val="en-US"/>
        </w:rPr>
        <w:t>o</w:t>
      </w:r>
      <w:r w:rsidR="00E12197" w:rsidRPr="00E12197">
        <w:rPr>
          <w:bCs/>
          <w:color w:val="000000"/>
          <w:lang w:val="en-US"/>
        </w:rPr>
        <w:t>C).</w:t>
      </w:r>
      <w:r w:rsidRPr="008C6364">
        <w:rPr>
          <w:bCs/>
          <w:color w:val="000000"/>
          <w:lang w:val="en-US"/>
        </w:rPr>
        <w:t xml:space="preserve"> Regarding </w:t>
      </w:r>
      <w:proofErr w:type="spellStart"/>
      <w:r w:rsidRPr="008C6364">
        <w:rPr>
          <w:bCs/>
          <w:color w:val="000000"/>
          <w:lang w:val="en-US"/>
        </w:rPr>
        <w:t>Ir</w:t>
      </w:r>
      <w:proofErr w:type="spellEnd"/>
      <w:r w:rsidRPr="008C6364">
        <w:rPr>
          <w:bCs/>
          <w:color w:val="000000"/>
          <w:lang w:val="en-US"/>
        </w:rPr>
        <w:t xml:space="preserve"> particle sizes and dispersions, all </w:t>
      </w:r>
      <w:proofErr w:type="spellStart"/>
      <w:r w:rsidRPr="008C6364">
        <w:rPr>
          <w:bCs/>
          <w:color w:val="000000"/>
          <w:lang w:val="en-US"/>
        </w:rPr>
        <w:t>Ir</w:t>
      </w:r>
      <w:proofErr w:type="spellEnd"/>
      <w:r w:rsidRPr="008C6364">
        <w:rPr>
          <w:bCs/>
          <w:color w:val="000000"/>
          <w:lang w:val="en-US"/>
        </w:rPr>
        <w:t>/LSM catalysts prepared herein show very similar values, in the order of 1.0-1.2 nm and 61-73%, respectively (Table 1), as estimated by the H</w:t>
      </w:r>
      <w:r w:rsidRPr="008C6364">
        <w:rPr>
          <w:bCs/>
          <w:color w:val="000000"/>
          <w:vertAlign w:val="subscript"/>
          <w:lang w:val="en-US"/>
        </w:rPr>
        <w:t>2</w:t>
      </w:r>
      <w:r w:rsidRPr="008C6364">
        <w:rPr>
          <w:bCs/>
          <w:color w:val="000000"/>
          <w:lang w:val="en-US"/>
        </w:rPr>
        <w:t>-chem</w:t>
      </w:r>
      <w:r w:rsidR="00F446D9">
        <w:rPr>
          <w:bCs/>
          <w:color w:val="000000"/>
          <w:lang w:val="en-US"/>
        </w:rPr>
        <w:t>.</w:t>
      </w:r>
      <w:r w:rsidRPr="008C6364">
        <w:rPr>
          <w:bCs/>
          <w:color w:val="000000"/>
          <w:lang w:val="en-US"/>
        </w:rPr>
        <w:t xml:space="preserve"> results.</w:t>
      </w:r>
    </w:p>
    <w:p w14:paraId="3F173D74" w14:textId="71E3F35F" w:rsidR="00F446D9" w:rsidRDefault="00B46832" w:rsidP="00B46832">
      <w:pPr>
        <w:pStyle w:val="S09PARAGRAFISUCESSIVI"/>
        <w:spacing w:line="240" w:lineRule="auto"/>
        <w:ind w:firstLine="0"/>
        <w:jc w:val="center"/>
        <w:rPr>
          <w:bCs/>
          <w:color w:val="000000"/>
          <w:lang w:val="en-US"/>
        </w:rPr>
      </w:pPr>
      <w:r>
        <w:rPr>
          <w:noProof/>
          <w:lang w:val="en-US" w:eastAsia="en-US"/>
        </w:rPr>
        <w:drawing>
          <wp:inline distT="0" distB="0" distL="0" distR="0" wp14:anchorId="50FC679D" wp14:editId="39AB9D93">
            <wp:extent cx="4305868" cy="2315540"/>
            <wp:effectExtent l="0" t="0" r="0" b="8890"/>
            <wp:docPr id="5" name="Picture 5" descr="C:\Users\YENTEKAKIS\Pictures\FIG 1 L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TEKAKIS\Pictures\FIG 1 LSM.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2985" t="4914" r="21010" b="3025"/>
                    <a:stretch/>
                  </pic:blipFill>
                  <pic:spPr bwMode="auto">
                    <a:xfrm>
                      <a:off x="0" y="0"/>
                      <a:ext cx="4321733" cy="2324071"/>
                    </a:xfrm>
                    <a:prstGeom prst="rect">
                      <a:avLst/>
                    </a:prstGeom>
                    <a:noFill/>
                    <a:ln>
                      <a:noFill/>
                    </a:ln>
                    <a:extLst>
                      <a:ext uri="{53640926-AAD7-44D8-BBD7-CCE9431645EC}">
                        <a14:shadowObscured xmlns:a14="http://schemas.microsoft.com/office/drawing/2010/main"/>
                      </a:ext>
                    </a:extLst>
                  </pic:spPr>
                </pic:pic>
              </a:graphicData>
            </a:graphic>
          </wp:inline>
        </w:drawing>
      </w:r>
    </w:p>
    <w:p w14:paraId="57025CBC" w14:textId="45B8F9A2" w:rsidR="0091654B" w:rsidRPr="00EC4094" w:rsidRDefault="00496572" w:rsidP="0091654B">
      <w:pPr>
        <w:pStyle w:val="S09PARAGRAFISUCESSIVI"/>
        <w:spacing w:after="120"/>
        <w:ind w:firstLine="0"/>
        <w:rPr>
          <w:lang w:val="en-US"/>
        </w:rPr>
      </w:pPr>
      <w:r w:rsidRPr="00EC4094">
        <w:rPr>
          <w:b/>
          <w:bCs/>
        </w:rPr>
        <w:t>Figure 1</w:t>
      </w:r>
      <w:r w:rsidR="0036129C" w:rsidRPr="00EC4094">
        <w:rPr>
          <w:b/>
          <w:bCs/>
        </w:rPr>
        <w:t>.</w:t>
      </w:r>
      <w:r w:rsidRPr="00EC4094">
        <w:t xml:space="preserve"> X-ray diffractions patterns of LSM </w:t>
      </w:r>
      <w:r w:rsidR="0026757D" w:rsidRPr="00EC4094">
        <w:t xml:space="preserve">perovskite supports and </w:t>
      </w:r>
      <w:proofErr w:type="spellStart"/>
      <w:r w:rsidR="0026757D" w:rsidRPr="00EC4094">
        <w:t>Ir</w:t>
      </w:r>
      <w:proofErr w:type="spellEnd"/>
      <w:r w:rsidR="0026757D" w:rsidRPr="00EC4094">
        <w:t>/</w:t>
      </w:r>
      <w:r w:rsidRPr="00EC4094">
        <w:t xml:space="preserve">LSM catalysts </w:t>
      </w:r>
      <w:r w:rsidR="0026757D" w:rsidRPr="00EC4094">
        <w:t xml:space="preserve">at </w:t>
      </w:r>
      <w:r w:rsidRPr="00EC4094">
        <w:t>20</w:t>
      </w:r>
      <w:r w:rsidRPr="00EC4094">
        <w:rPr>
          <w:vertAlign w:val="superscript"/>
        </w:rPr>
        <w:t>o</w:t>
      </w:r>
      <w:r w:rsidRPr="00EC4094">
        <w:t xml:space="preserve"> &lt; 2</w:t>
      </w:r>
      <w:r w:rsidRPr="00EC4094">
        <w:rPr>
          <w:lang w:val="el-GR"/>
        </w:rPr>
        <w:t>θ</w:t>
      </w:r>
      <w:r w:rsidRPr="00EC4094">
        <w:rPr>
          <w:lang w:val="en-US"/>
        </w:rPr>
        <w:t xml:space="preserve"> &lt; 70</w:t>
      </w:r>
      <w:r w:rsidRPr="00EC4094">
        <w:rPr>
          <w:vertAlign w:val="superscript"/>
          <w:lang w:val="en-US"/>
        </w:rPr>
        <w:t>o</w:t>
      </w:r>
      <w:r w:rsidR="0026757D" w:rsidRPr="00EC4094">
        <w:rPr>
          <w:lang w:val="en-US"/>
        </w:rPr>
        <w:t xml:space="preserve"> (a). </w:t>
      </w:r>
      <w:r w:rsidR="0026757D" w:rsidRPr="00EC4094">
        <w:t>E</w:t>
      </w:r>
      <w:r w:rsidRPr="00EC4094">
        <w:t xml:space="preserve">nlarged XRD patterns </w:t>
      </w:r>
      <w:r w:rsidR="0026757D" w:rsidRPr="00EC4094">
        <w:t>at</w:t>
      </w:r>
      <w:r w:rsidRPr="00EC4094">
        <w:t xml:space="preserve"> 32</w:t>
      </w:r>
      <w:r w:rsidRPr="00EC4094">
        <w:rPr>
          <w:vertAlign w:val="superscript"/>
        </w:rPr>
        <w:t>o</w:t>
      </w:r>
      <w:r w:rsidRPr="00EC4094">
        <w:t xml:space="preserve"> &lt; 2</w:t>
      </w:r>
      <w:r w:rsidRPr="00EC4094">
        <w:rPr>
          <w:lang w:val="el-GR"/>
        </w:rPr>
        <w:t>θ</w:t>
      </w:r>
      <w:r w:rsidRPr="00EC4094">
        <w:rPr>
          <w:lang w:val="en-US"/>
        </w:rPr>
        <w:t xml:space="preserve"> &lt; 34</w:t>
      </w:r>
      <w:r w:rsidRPr="00EC4094">
        <w:rPr>
          <w:vertAlign w:val="superscript"/>
          <w:lang w:val="en-US"/>
        </w:rPr>
        <w:t>o</w:t>
      </w:r>
      <w:r w:rsidR="0026757D" w:rsidRPr="00EC4094">
        <w:rPr>
          <w:lang w:val="en-US"/>
        </w:rPr>
        <w:t xml:space="preserve"> for LSM perovskites (b)</w:t>
      </w:r>
      <w:r w:rsidRPr="00EC4094">
        <w:rPr>
          <w:lang w:val="en-US"/>
        </w:rPr>
        <w:t xml:space="preserve">. </w:t>
      </w:r>
    </w:p>
    <w:p w14:paraId="441E0E0E" w14:textId="77777777" w:rsidR="008C6364" w:rsidRDefault="008C6364" w:rsidP="0036129C">
      <w:pPr>
        <w:pStyle w:val="S09PARAGRAFISUCESSIVI"/>
        <w:tabs>
          <w:tab w:val="clear" w:pos="9498"/>
        </w:tabs>
        <w:spacing w:after="120" w:line="240" w:lineRule="auto"/>
        <w:ind w:firstLine="0"/>
        <w:rPr>
          <w:lang w:val="en-US"/>
        </w:rPr>
      </w:pPr>
    </w:p>
    <w:p w14:paraId="0A52B9AD" w14:textId="77777777" w:rsidR="0036129C" w:rsidRPr="0036129C" w:rsidRDefault="0036129C" w:rsidP="0036129C">
      <w:pPr>
        <w:pStyle w:val="S09PARAGRAFISUCESSIVI"/>
        <w:tabs>
          <w:tab w:val="clear" w:pos="9498"/>
        </w:tabs>
        <w:spacing w:after="120" w:line="240" w:lineRule="auto"/>
        <w:ind w:firstLine="0"/>
        <w:rPr>
          <w:b/>
          <w:lang w:val="it-IT"/>
        </w:rPr>
      </w:pPr>
      <w:r w:rsidRPr="0036129C">
        <w:rPr>
          <w:b/>
          <w:lang w:val="it-IT"/>
        </w:rPr>
        <w:t>3.2 Catalytic evaluation results</w:t>
      </w:r>
    </w:p>
    <w:p w14:paraId="22A9CDC2" w14:textId="77777777" w:rsidR="0036129C" w:rsidRPr="0036129C" w:rsidRDefault="0036129C" w:rsidP="0036129C">
      <w:pPr>
        <w:pStyle w:val="S09PARAGRAFISUCESSIVI"/>
        <w:tabs>
          <w:tab w:val="clear" w:pos="9498"/>
        </w:tabs>
        <w:spacing w:after="120" w:line="240" w:lineRule="auto"/>
        <w:ind w:firstLine="0"/>
        <w:rPr>
          <w:b/>
          <w:i/>
          <w:lang w:val="en-US"/>
        </w:rPr>
      </w:pPr>
      <w:r w:rsidRPr="0036129C">
        <w:rPr>
          <w:b/>
          <w:i/>
          <w:lang w:val="en-US"/>
        </w:rPr>
        <w:t xml:space="preserve">3.2.1 Catalytic performance of pre-reduced and pre-oxidized samples. </w:t>
      </w:r>
    </w:p>
    <w:p w14:paraId="2CF7B182" w14:textId="33ACA34C" w:rsidR="00D268C9" w:rsidRDefault="0036129C" w:rsidP="00227025">
      <w:pPr>
        <w:pStyle w:val="S09PARAGRAFISUCESSIVI"/>
        <w:tabs>
          <w:tab w:val="clear" w:pos="9498"/>
        </w:tabs>
        <w:spacing w:line="240" w:lineRule="auto"/>
        <w:ind w:firstLine="288"/>
        <w:rPr>
          <w:lang w:val="en-US"/>
        </w:rPr>
      </w:pPr>
      <w:r w:rsidRPr="0036129C">
        <w:rPr>
          <w:lang w:val="en-US"/>
        </w:rPr>
        <w:t xml:space="preserve">Initially, the catalytic performance of all samples (LSM supports and </w:t>
      </w:r>
      <w:proofErr w:type="spellStart"/>
      <w:r w:rsidRPr="0036129C">
        <w:rPr>
          <w:lang w:val="en-US"/>
        </w:rPr>
        <w:t>Ir</w:t>
      </w:r>
      <w:proofErr w:type="spellEnd"/>
      <w:r w:rsidRPr="0036129C">
        <w:rPr>
          <w:lang w:val="en-US"/>
        </w:rPr>
        <w:t xml:space="preserve">/LSM catalysts) and in two pre-treatment stages was comparatively evaluated in </w:t>
      </w:r>
      <w:r w:rsidRPr="0036129C">
        <w:rPr>
          <w:i/>
          <w:lang w:val="en-US"/>
        </w:rPr>
        <w:t>light-off</w:t>
      </w:r>
      <w:r w:rsidRPr="0036129C">
        <w:rPr>
          <w:lang w:val="en-US"/>
        </w:rPr>
        <w:t xml:space="preserve"> diagrams (Fig. 2). Specifically, Fig. 2a depicts light-off profiles of pre-reduced samples, while Fig. 2</w:t>
      </w:r>
      <w:r w:rsidR="00C96DA9">
        <w:rPr>
          <w:lang w:val="en-US"/>
        </w:rPr>
        <w:t>b</w:t>
      </w:r>
      <w:r w:rsidRPr="0036129C">
        <w:rPr>
          <w:lang w:val="en-US"/>
        </w:rPr>
        <w:t xml:space="preserve"> of pre-oxidized ones. </w:t>
      </w:r>
      <w:r w:rsidR="00C96DA9">
        <w:rPr>
          <w:lang w:val="en-US"/>
        </w:rPr>
        <w:t>B</w:t>
      </w:r>
      <w:r w:rsidRPr="0036129C">
        <w:rPr>
          <w:lang w:val="en-US"/>
        </w:rPr>
        <w:t xml:space="preserve">oth </w:t>
      </w:r>
      <w:proofErr w:type="spellStart"/>
      <w:r w:rsidRPr="0036129C">
        <w:rPr>
          <w:lang w:val="en-US"/>
        </w:rPr>
        <w:t>Ir</w:t>
      </w:r>
      <w:proofErr w:type="spellEnd"/>
      <w:r w:rsidRPr="0036129C">
        <w:rPr>
          <w:lang w:val="en-US"/>
        </w:rPr>
        <w:t xml:space="preserve">-free LSM perovskite supports and corresponding </w:t>
      </w:r>
      <w:proofErr w:type="spellStart"/>
      <w:r w:rsidRPr="0036129C">
        <w:rPr>
          <w:lang w:val="en-US"/>
        </w:rPr>
        <w:t>Ir</w:t>
      </w:r>
      <w:proofErr w:type="spellEnd"/>
      <w:r w:rsidRPr="0036129C">
        <w:rPr>
          <w:lang w:val="en-US"/>
        </w:rPr>
        <w:t xml:space="preserve">/LSM catalysts, independently of their preconditioning, </w:t>
      </w:r>
      <w:r w:rsidR="00C96DA9">
        <w:rPr>
          <w:lang w:val="en-US"/>
        </w:rPr>
        <w:t>show</w:t>
      </w:r>
      <w:r w:rsidRPr="0036129C">
        <w:rPr>
          <w:lang w:val="en-US"/>
        </w:rPr>
        <w:t xml:space="preserve"> considerable ac</w:t>
      </w:r>
      <w:r w:rsidR="00010EBC">
        <w:rPr>
          <w:lang w:val="en-US"/>
        </w:rPr>
        <w:t>tivity in CO oxidation. However in both cases,</w:t>
      </w:r>
      <w:r w:rsidRPr="0036129C">
        <w:rPr>
          <w:lang w:val="en-US"/>
        </w:rPr>
        <w:t xml:space="preserve"> </w:t>
      </w:r>
      <w:proofErr w:type="spellStart"/>
      <w:r w:rsidRPr="0036129C">
        <w:rPr>
          <w:lang w:val="en-US"/>
        </w:rPr>
        <w:t>Ir</w:t>
      </w:r>
      <w:proofErr w:type="spellEnd"/>
      <w:r w:rsidRPr="0036129C">
        <w:rPr>
          <w:lang w:val="en-US"/>
        </w:rPr>
        <w:t>/LSM catalysts have significantly superior behavior versus that of the LSM supports with the light-off profiles of the former to be shifted at ca. 25-85</w:t>
      </w:r>
      <w:r w:rsidRPr="0036129C">
        <w:rPr>
          <w:vertAlign w:val="superscript"/>
          <w:lang w:val="en-US"/>
        </w:rPr>
        <w:t>o</w:t>
      </w:r>
      <w:r w:rsidRPr="0036129C">
        <w:rPr>
          <w:lang w:val="en-US"/>
        </w:rPr>
        <w:t xml:space="preserve">C lower temperatures (Fig. 2, Table 2). </w:t>
      </w:r>
      <w:r w:rsidR="00C96DA9">
        <w:rPr>
          <w:lang w:val="en-US"/>
        </w:rPr>
        <w:t>A</w:t>
      </w:r>
      <w:r w:rsidRPr="0036129C">
        <w:rPr>
          <w:lang w:val="en-US"/>
        </w:rPr>
        <w:t xml:space="preserve"> superiority in</w:t>
      </w:r>
      <w:r w:rsidR="00217636">
        <w:rPr>
          <w:lang w:val="en-US"/>
        </w:rPr>
        <w:t xml:space="preserve"> </w:t>
      </w:r>
      <w:r w:rsidRPr="0036129C">
        <w:rPr>
          <w:lang w:val="en-US"/>
        </w:rPr>
        <w:t>activity of the pre-reduced samples (supports and catalysts) in compa</w:t>
      </w:r>
      <w:r w:rsidR="00C96DA9">
        <w:rPr>
          <w:lang w:val="en-US"/>
        </w:rPr>
        <w:t xml:space="preserve">rison to the pre-oxidized ones is also obvious, lying </w:t>
      </w:r>
      <w:r w:rsidR="00217636">
        <w:rPr>
          <w:lang w:val="en-US"/>
        </w:rPr>
        <w:t xml:space="preserve">typically </w:t>
      </w:r>
      <w:r w:rsidR="004773BE">
        <w:rPr>
          <w:lang w:val="en-US"/>
        </w:rPr>
        <w:t>between ~0 to ~70</w:t>
      </w:r>
      <w:r w:rsidRPr="004773BE">
        <w:rPr>
          <w:vertAlign w:val="superscript"/>
          <w:lang w:val="en-US"/>
        </w:rPr>
        <w:t>o</w:t>
      </w:r>
      <w:r w:rsidRPr="0036129C">
        <w:rPr>
          <w:lang w:val="en-US"/>
        </w:rPr>
        <w:t>C lower T</w:t>
      </w:r>
      <w:r w:rsidRPr="004773BE">
        <w:rPr>
          <w:vertAlign w:val="subscript"/>
          <w:lang w:val="en-US"/>
        </w:rPr>
        <w:t>50</w:t>
      </w:r>
      <w:r w:rsidRPr="0036129C">
        <w:rPr>
          <w:lang w:val="en-US"/>
        </w:rPr>
        <w:t xml:space="preserve"> temperatures (Fig. 2, Table 2). </w:t>
      </w:r>
    </w:p>
    <w:p w14:paraId="5D677367" w14:textId="77777777" w:rsidR="002D3AFE" w:rsidRPr="002D3AFE" w:rsidRDefault="002D3AFE" w:rsidP="00227025">
      <w:pPr>
        <w:pStyle w:val="S09PARAGRAFISUCESSIVI"/>
        <w:tabs>
          <w:tab w:val="clear" w:pos="9498"/>
        </w:tabs>
        <w:spacing w:line="240" w:lineRule="auto"/>
        <w:ind w:firstLine="288"/>
        <w:rPr>
          <w:b/>
          <w:lang w:val="en-US"/>
        </w:rPr>
      </w:pPr>
      <w:r w:rsidRPr="002D3AFE">
        <w:rPr>
          <w:lang w:val="en-US"/>
        </w:rPr>
        <w:t xml:space="preserve">In respect to pre-reduced </w:t>
      </w:r>
      <w:proofErr w:type="spellStart"/>
      <w:r w:rsidRPr="002D3AFE">
        <w:rPr>
          <w:lang w:val="en-US"/>
        </w:rPr>
        <w:t>Ir</w:t>
      </w:r>
      <w:proofErr w:type="spellEnd"/>
      <w:r w:rsidRPr="002D3AFE">
        <w:rPr>
          <w:lang w:val="en-US"/>
        </w:rPr>
        <w:t xml:space="preserve">/LSM catalysts, the activity order is </w:t>
      </w:r>
      <w:proofErr w:type="spellStart"/>
      <w:r w:rsidRPr="002D3AFE">
        <w:rPr>
          <w:lang w:val="en-US"/>
        </w:rPr>
        <w:t>Ir</w:t>
      </w:r>
      <w:proofErr w:type="spellEnd"/>
      <w:r w:rsidRPr="002D3AFE">
        <w:rPr>
          <w:lang w:val="en-US"/>
        </w:rPr>
        <w:t xml:space="preserve">/LSM00 &gt; </w:t>
      </w:r>
      <w:proofErr w:type="spellStart"/>
      <w:r w:rsidRPr="002D3AFE">
        <w:rPr>
          <w:lang w:val="en-US"/>
        </w:rPr>
        <w:t>Ir</w:t>
      </w:r>
      <w:proofErr w:type="spellEnd"/>
      <w:r w:rsidRPr="002D3AFE">
        <w:rPr>
          <w:lang w:val="en-US"/>
        </w:rPr>
        <w:t xml:space="preserve">/LSM30 &gt; </w:t>
      </w:r>
      <w:proofErr w:type="spellStart"/>
      <w:r w:rsidRPr="002D3AFE">
        <w:rPr>
          <w:lang w:val="en-US"/>
        </w:rPr>
        <w:t>Ir</w:t>
      </w:r>
      <w:proofErr w:type="spellEnd"/>
      <w:r w:rsidRPr="002D3AFE">
        <w:rPr>
          <w:lang w:val="en-US"/>
        </w:rPr>
        <w:t xml:space="preserve">/LSM50 &gt; </w:t>
      </w:r>
      <w:proofErr w:type="spellStart"/>
      <w:r w:rsidRPr="002D3AFE">
        <w:rPr>
          <w:lang w:val="en-US"/>
        </w:rPr>
        <w:t>Ir</w:t>
      </w:r>
      <w:proofErr w:type="spellEnd"/>
      <w:r w:rsidRPr="002D3AFE">
        <w:rPr>
          <w:lang w:val="en-US"/>
        </w:rPr>
        <w:t xml:space="preserve">/LSM70, almost similar to that of the LSM supports, i.e. LSM00 &gt; </w:t>
      </w:r>
      <w:proofErr w:type="spellStart"/>
      <w:r w:rsidRPr="002D3AFE">
        <w:rPr>
          <w:lang w:val="en-US"/>
        </w:rPr>
        <w:t>Ir</w:t>
      </w:r>
      <w:proofErr w:type="spellEnd"/>
      <w:r w:rsidRPr="002D3AFE">
        <w:rPr>
          <w:lang w:val="en-US"/>
        </w:rPr>
        <w:t xml:space="preserve">/LSM50 &gt; </w:t>
      </w:r>
      <w:proofErr w:type="spellStart"/>
      <w:r w:rsidRPr="002D3AFE">
        <w:rPr>
          <w:lang w:val="en-US"/>
        </w:rPr>
        <w:t>Ir</w:t>
      </w:r>
      <w:proofErr w:type="spellEnd"/>
      <w:r w:rsidRPr="002D3AFE">
        <w:rPr>
          <w:lang w:val="en-US"/>
        </w:rPr>
        <w:t xml:space="preserve">/LSM30 &gt; </w:t>
      </w:r>
      <w:proofErr w:type="spellStart"/>
      <w:r w:rsidRPr="002D3AFE">
        <w:rPr>
          <w:lang w:val="en-US"/>
        </w:rPr>
        <w:t>Ir</w:t>
      </w:r>
      <w:proofErr w:type="spellEnd"/>
      <w:r w:rsidRPr="002D3AFE">
        <w:rPr>
          <w:lang w:val="en-US"/>
        </w:rPr>
        <w:t>/LSM70; this order seems to follow the order of increasing substitution of La by Sr in the perovskite chemical formula.</w:t>
      </w:r>
    </w:p>
    <w:p w14:paraId="01015ECC" w14:textId="2C9E76D3" w:rsidR="00C96DA9" w:rsidRPr="00C96DA9" w:rsidRDefault="00341BF8" w:rsidP="002D3AFE">
      <w:pPr>
        <w:pStyle w:val="S09PARAGRAFISUCESSIVI"/>
        <w:tabs>
          <w:tab w:val="clear" w:pos="9498"/>
        </w:tabs>
        <w:spacing w:after="120"/>
        <w:ind w:firstLine="0"/>
        <w:jc w:val="center"/>
        <w:rPr>
          <w:lang w:val="en-US"/>
        </w:rPr>
      </w:pPr>
      <w:r>
        <w:rPr>
          <w:noProof/>
          <w:lang w:val="en-US" w:eastAsia="en-US"/>
        </w:rPr>
        <w:lastRenderedPageBreak/>
        <w:drawing>
          <wp:inline distT="0" distB="0" distL="0" distR="0" wp14:anchorId="0B54ED5C" wp14:editId="4AD9E0B5">
            <wp:extent cx="5923129" cy="2469937"/>
            <wp:effectExtent l="0" t="0" r="0" b="0"/>
            <wp:docPr id="9" name="Picture 9" descr="C:\Users\YENTEKAKIS\Pictures\FIG 2 L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YENTEKAKIS\Pictures\FIG 2 LS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3022" cy="2469892"/>
                    </a:xfrm>
                    <a:prstGeom prst="rect">
                      <a:avLst/>
                    </a:prstGeom>
                    <a:noFill/>
                    <a:ln>
                      <a:noFill/>
                    </a:ln>
                  </pic:spPr>
                </pic:pic>
              </a:graphicData>
            </a:graphic>
          </wp:inline>
        </w:drawing>
      </w:r>
    </w:p>
    <w:p w14:paraId="39CEC730" w14:textId="76CB2965" w:rsidR="0091654B" w:rsidRDefault="0091654B" w:rsidP="0091654B">
      <w:pPr>
        <w:spacing w:after="200" w:line="240" w:lineRule="auto"/>
        <w:ind w:firstLine="0"/>
        <w:rPr>
          <w:szCs w:val="24"/>
        </w:rPr>
      </w:pPr>
      <w:r w:rsidRPr="0091654B">
        <w:rPr>
          <w:b/>
          <w:bCs/>
          <w:szCs w:val="24"/>
        </w:rPr>
        <w:t xml:space="preserve">Figure </w:t>
      </w:r>
      <w:r w:rsidR="00DA0CE6">
        <w:rPr>
          <w:b/>
          <w:bCs/>
          <w:szCs w:val="24"/>
        </w:rPr>
        <w:t>2.</w:t>
      </w:r>
      <w:r w:rsidRPr="0091654B">
        <w:rPr>
          <w:szCs w:val="24"/>
        </w:rPr>
        <w:t xml:space="preserve"> CO conversion </w:t>
      </w:r>
      <w:r w:rsidR="00DA0CE6">
        <w:rPr>
          <w:szCs w:val="24"/>
        </w:rPr>
        <w:t xml:space="preserve">versus temperature </w:t>
      </w:r>
      <w:r w:rsidRPr="0091654B">
        <w:rPr>
          <w:szCs w:val="24"/>
        </w:rPr>
        <w:t xml:space="preserve">over </w:t>
      </w:r>
      <w:r w:rsidR="00DA0CE6">
        <w:rPr>
          <w:szCs w:val="24"/>
        </w:rPr>
        <w:t>LSM supports and counterpart Ir/LSM catalysts with pre-reduced (a) and pre-oxidized (b) samples. Feed conditions:</w:t>
      </w:r>
      <w:r w:rsidRPr="0091654B">
        <w:rPr>
          <w:szCs w:val="24"/>
        </w:rPr>
        <w:t xml:space="preserve"> </w:t>
      </w:r>
      <w:r w:rsidR="00DA0CE6" w:rsidRPr="0091654B">
        <w:rPr>
          <w:szCs w:val="24"/>
        </w:rPr>
        <w:t>1.0% CO, 5.0% O</w:t>
      </w:r>
      <w:r w:rsidR="00DA0CE6">
        <w:rPr>
          <w:szCs w:val="24"/>
          <w:vertAlign w:val="subscript"/>
        </w:rPr>
        <w:t xml:space="preserve">2, </w:t>
      </w:r>
      <w:r w:rsidR="00DA0CE6">
        <w:rPr>
          <w:szCs w:val="24"/>
        </w:rPr>
        <w:t xml:space="preserve">He balance at 1 bar; </w:t>
      </w:r>
      <w:r w:rsidRPr="0091654B">
        <w:rPr>
          <w:szCs w:val="24"/>
        </w:rPr>
        <w:t>F</w:t>
      </w:r>
      <w:r w:rsidRPr="0091654B">
        <w:rPr>
          <w:szCs w:val="24"/>
          <w:vertAlign w:val="subscript"/>
        </w:rPr>
        <w:t>T</w:t>
      </w:r>
      <w:r w:rsidRPr="0091654B">
        <w:rPr>
          <w:szCs w:val="24"/>
        </w:rPr>
        <w:t xml:space="preserve"> =160 mL/min, </w:t>
      </w:r>
      <w:r w:rsidR="00DA0CE6">
        <w:rPr>
          <w:szCs w:val="24"/>
        </w:rPr>
        <w:t>catalyst mass m</w:t>
      </w:r>
      <w:r w:rsidRPr="0091654B">
        <w:rPr>
          <w:szCs w:val="24"/>
        </w:rPr>
        <w:t xml:space="preserve"> =20 mg, </w:t>
      </w:r>
      <w:r w:rsidR="00DA0CE6">
        <w:rPr>
          <w:szCs w:val="24"/>
        </w:rPr>
        <w:t>wGHSV=480,</w:t>
      </w:r>
      <w:r w:rsidRPr="0091654B">
        <w:rPr>
          <w:szCs w:val="24"/>
        </w:rPr>
        <w:t>000 mL/g</w:t>
      </w:r>
      <w:r w:rsidR="00DA0CE6">
        <w:rPr>
          <w:rFonts w:cs="Times"/>
          <w:szCs w:val="24"/>
          <w:vertAlign w:val="subscript"/>
        </w:rPr>
        <w:t>∙</w:t>
      </w:r>
      <w:r w:rsidRPr="0091654B">
        <w:rPr>
          <w:szCs w:val="24"/>
        </w:rPr>
        <w:t>h</w:t>
      </w:r>
      <w:r w:rsidR="00DA0CE6">
        <w:rPr>
          <w:szCs w:val="24"/>
        </w:rPr>
        <w:t xml:space="preserve">. Open sympols and dashed lines depict LSM perovskite supports, filled </w:t>
      </w:r>
      <w:r w:rsidRPr="0091654B">
        <w:rPr>
          <w:szCs w:val="24"/>
        </w:rPr>
        <w:t xml:space="preserve">symbols </w:t>
      </w:r>
      <w:r w:rsidR="00DA0CE6">
        <w:rPr>
          <w:szCs w:val="24"/>
        </w:rPr>
        <w:t>and solid lines depict Ir/LSM catalysts</w:t>
      </w:r>
      <w:r w:rsidRPr="0091654B">
        <w:rPr>
          <w:szCs w:val="24"/>
        </w:rPr>
        <w:t xml:space="preserve"> </w:t>
      </w:r>
      <w:r w:rsidR="00DA0CE6">
        <w:rPr>
          <w:szCs w:val="24"/>
        </w:rPr>
        <w:t>(</w:t>
      </w:r>
      <w:r w:rsidR="00DA0CE6">
        <w:rPr>
          <w:szCs w:val="24"/>
          <w:lang w:val="en-US"/>
        </w:rPr>
        <w:t>squares: Ir-LSM00;</w:t>
      </w:r>
      <w:r w:rsidRPr="0091654B">
        <w:rPr>
          <w:szCs w:val="24"/>
          <w:lang w:val="en-US"/>
        </w:rPr>
        <w:t xml:space="preserve"> c</w:t>
      </w:r>
      <w:r w:rsidR="00DA0CE6">
        <w:rPr>
          <w:szCs w:val="24"/>
          <w:lang w:val="en-US"/>
        </w:rPr>
        <w:t>ircles</w:t>
      </w:r>
      <w:r w:rsidRPr="0091654B">
        <w:rPr>
          <w:szCs w:val="24"/>
          <w:lang w:val="en-US"/>
        </w:rPr>
        <w:t>: Ir-LSM30, triangles: Ir-LSM50, stars: LSM70)</w:t>
      </w:r>
      <w:r w:rsidRPr="0091654B">
        <w:rPr>
          <w:szCs w:val="24"/>
        </w:rPr>
        <w:t xml:space="preserve">. </w:t>
      </w:r>
    </w:p>
    <w:p w14:paraId="4DC6D5EA" w14:textId="75E51007" w:rsidR="00371F71" w:rsidRDefault="00371F71" w:rsidP="0091654B">
      <w:pPr>
        <w:spacing w:after="200" w:line="240" w:lineRule="auto"/>
        <w:ind w:firstLine="0"/>
        <w:rPr>
          <w:szCs w:val="24"/>
        </w:rPr>
      </w:pPr>
      <w:r w:rsidRPr="00371F71">
        <w:rPr>
          <w:b/>
          <w:szCs w:val="24"/>
        </w:rPr>
        <w:t>Table 2.</w:t>
      </w:r>
      <w:r>
        <w:rPr>
          <w:szCs w:val="24"/>
        </w:rPr>
        <w:t xml:space="preserve"> The temperature for 50% </w:t>
      </w:r>
      <w:r w:rsidR="000A7AF0">
        <w:rPr>
          <w:szCs w:val="24"/>
        </w:rPr>
        <w:t xml:space="preserve">CO </w:t>
      </w:r>
      <w:r>
        <w:rPr>
          <w:szCs w:val="24"/>
        </w:rPr>
        <w:t>conversion (T</w:t>
      </w:r>
      <w:r w:rsidRPr="00371F71">
        <w:rPr>
          <w:szCs w:val="24"/>
          <w:vertAlign w:val="subscript"/>
        </w:rPr>
        <w:t>50</w:t>
      </w:r>
      <w:r>
        <w:rPr>
          <w:szCs w:val="24"/>
        </w:rPr>
        <w:t xml:space="preserve">) </w:t>
      </w:r>
      <w:r w:rsidR="000A7AF0">
        <w:rPr>
          <w:szCs w:val="24"/>
        </w:rPr>
        <w:t>on</w:t>
      </w:r>
      <w:r>
        <w:rPr>
          <w:szCs w:val="24"/>
        </w:rPr>
        <w:t xml:space="preserve"> LSM perovskite supports and counterpart Ir/LSM catalysts </w:t>
      </w:r>
      <w:r w:rsidR="000A7AF0">
        <w:rPr>
          <w:szCs w:val="24"/>
        </w:rPr>
        <w:t>for</w:t>
      </w:r>
      <w:r>
        <w:rPr>
          <w:szCs w:val="24"/>
        </w:rPr>
        <w:t xml:space="preserve"> pre-reduced and pre-oxidized samples.</w:t>
      </w:r>
    </w:p>
    <w:tbl>
      <w:tblPr>
        <w:tblStyle w:val="af"/>
        <w:tblW w:w="9905" w:type="dxa"/>
        <w:tblLayout w:type="fixed"/>
        <w:tblLook w:val="04A0" w:firstRow="1" w:lastRow="0" w:firstColumn="1" w:lastColumn="0" w:noHBand="0" w:noVBand="1"/>
      </w:tblPr>
      <w:tblGrid>
        <w:gridCol w:w="1085"/>
        <w:gridCol w:w="1350"/>
        <w:gridCol w:w="1350"/>
        <w:gridCol w:w="2700"/>
        <w:gridCol w:w="1710"/>
        <w:gridCol w:w="1710"/>
      </w:tblGrid>
      <w:tr w:rsidR="000A7AF0" w:rsidRPr="00A6555A" w14:paraId="39078523" w14:textId="1EED1790" w:rsidTr="005A0889">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085" w:type="dxa"/>
          </w:tcPr>
          <w:p w14:paraId="7B6A213D" w14:textId="77777777" w:rsidR="000A7AF0" w:rsidRPr="002C7C96" w:rsidRDefault="000A7AF0" w:rsidP="002C7C96">
            <w:pPr>
              <w:pStyle w:val="TITLE2"/>
              <w:tabs>
                <w:tab w:val="clear" w:pos="9498"/>
                <w:tab w:val="left" w:pos="2820"/>
              </w:tabs>
              <w:spacing w:before="0" w:after="0" w:line="240" w:lineRule="auto"/>
              <w:jc w:val="center"/>
              <w:rPr>
                <w:rFonts w:ascii="Times New Roman" w:hAnsi="Times New Roman" w:cs="Times New Roman"/>
                <w:bCs w:val="0"/>
                <w:sz w:val="20"/>
                <w:szCs w:val="20"/>
                <w:lang w:val="it-IT"/>
              </w:rPr>
            </w:pPr>
            <w:r w:rsidRPr="002C7C96">
              <w:rPr>
                <w:rFonts w:ascii="Times New Roman" w:hAnsi="Times New Roman" w:cs="Times New Roman"/>
                <w:sz w:val="20"/>
                <w:szCs w:val="20"/>
                <w:lang w:val="it-IT"/>
              </w:rPr>
              <w:t>Sample code</w:t>
            </w:r>
          </w:p>
        </w:tc>
        <w:tc>
          <w:tcPr>
            <w:tcW w:w="1350" w:type="dxa"/>
          </w:tcPr>
          <w:p w14:paraId="1F5862C5" w14:textId="77777777" w:rsidR="000A7AF0" w:rsidRPr="002C7C96" w:rsidRDefault="000A7AF0" w:rsidP="002C7C96">
            <w:pPr>
              <w:pStyle w:val="TEXT"/>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C7C96">
              <w:rPr>
                <w:rFonts w:ascii="Times New Roman" w:hAnsi="Times New Roman" w:cs="Times New Roman"/>
                <w:b w:val="0"/>
                <w:sz w:val="20"/>
                <w:szCs w:val="20"/>
              </w:rPr>
              <w:t>T</w:t>
            </w:r>
            <w:r w:rsidRPr="002C7C96">
              <w:rPr>
                <w:rFonts w:ascii="Times New Roman" w:hAnsi="Times New Roman" w:cs="Times New Roman"/>
                <w:b w:val="0"/>
                <w:sz w:val="20"/>
                <w:szCs w:val="20"/>
                <w:vertAlign w:val="subscript"/>
              </w:rPr>
              <w:t>50</w:t>
            </w:r>
            <w:r w:rsidRPr="002C7C96">
              <w:rPr>
                <w:rFonts w:ascii="Times New Roman" w:hAnsi="Times New Roman" w:cs="Times New Roman"/>
                <w:b w:val="0"/>
                <w:sz w:val="20"/>
                <w:szCs w:val="20"/>
              </w:rPr>
              <w:t xml:space="preserve"> (</w:t>
            </w:r>
            <w:r w:rsidRPr="002C7C96">
              <w:rPr>
                <w:rFonts w:ascii="Times New Roman" w:hAnsi="Times New Roman" w:cs="Times New Roman"/>
                <w:b w:val="0"/>
                <w:sz w:val="20"/>
                <w:szCs w:val="20"/>
                <w:vertAlign w:val="superscript"/>
              </w:rPr>
              <w:t>o</w:t>
            </w:r>
            <w:r w:rsidRPr="002C7C96">
              <w:rPr>
                <w:rFonts w:ascii="Times New Roman" w:hAnsi="Times New Roman" w:cs="Times New Roman"/>
                <w:b w:val="0"/>
                <w:sz w:val="20"/>
                <w:szCs w:val="20"/>
              </w:rPr>
              <w:t>C)</w:t>
            </w:r>
          </w:p>
          <w:p w14:paraId="318A1CA5" w14:textId="3A3C9CD6" w:rsidR="000A7AF0" w:rsidRPr="002C7C96" w:rsidRDefault="000A7AF0" w:rsidP="002C7C96">
            <w:pPr>
              <w:pStyle w:val="TEXT"/>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C7C96">
              <w:rPr>
                <w:rFonts w:ascii="Times New Roman" w:hAnsi="Times New Roman" w:cs="Times New Roman"/>
                <w:b w:val="0"/>
                <w:sz w:val="20"/>
                <w:szCs w:val="20"/>
              </w:rPr>
              <w:t>pre-reduced</w:t>
            </w:r>
          </w:p>
        </w:tc>
        <w:tc>
          <w:tcPr>
            <w:tcW w:w="1350" w:type="dxa"/>
          </w:tcPr>
          <w:p w14:paraId="1E97A28B" w14:textId="4D7C7CFE" w:rsidR="000A7AF0" w:rsidRPr="002C7C96" w:rsidRDefault="000A7AF0" w:rsidP="002C7C96">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it-IT"/>
              </w:rPr>
            </w:pPr>
            <w:r w:rsidRPr="002C7C96">
              <w:rPr>
                <w:rFonts w:ascii="Times New Roman" w:hAnsi="Times New Roman" w:cs="Times New Roman"/>
                <w:sz w:val="20"/>
                <w:szCs w:val="20"/>
                <w:lang w:val="it-IT"/>
              </w:rPr>
              <w:t>T</w:t>
            </w:r>
            <w:r w:rsidRPr="002C7C96">
              <w:rPr>
                <w:rFonts w:ascii="Times New Roman" w:hAnsi="Times New Roman" w:cs="Times New Roman"/>
                <w:sz w:val="20"/>
                <w:szCs w:val="20"/>
                <w:vertAlign w:val="subscript"/>
                <w:lang w:val="it-IT"/>
              </w:rPr>
              <w:t>50</w:t>
            </w:r>
            <w:r w:rsidRPr="002C7C96">
              <w:rPr>
                <w:rFonts w:ascii="Times New Roman" w:hAnsi="Times New Roman" w:cs="Times New Roman"/>
                <w:sz w:val="20"/>
                <w:szCs w:val="20"/>
                <w:lang w:val="it-IT"/>
              </w:rPr>
              <w:t xml:space="preserve"> (</w:t>
            </w:r>
            <w:r w:rsidRPr="002C7C96">
              <w:rPr>
                <w:rFonts w:ascii="Times New Roman" w:hAnsi="Times New Roman" w:cs="Times New Roman"/>
                <w:sz w:val="20"/>
                <w:szCs w:val="20"/>
                <w:vertAlign w:val="superscript"/>
                <w:lang w:val="it-IT"/>
              </w:rPr>
              <w:t>o</w:t>
            </w:r>
            <w:r w:rsidRPr="002C7C96">
              <w:rPr>
                <w:rFonts w:ascii="Times New Roman" w:hAnsi="Times New Roman" w:cs="Times New Roman"/>
                <w:sz w:val="20"/>
                <w:szCs w:val="20"/>
                <w:lang w:val="it-IT"/>
              </w:rPr>
              <w:t>C)</w:t>
            </w:r>
          </w:p>
          <w:p w14:paraId="23C8AD00" w14:textId="42598BD1" w:rsidR="000A7AF0" w:rsidRPr="002C7C96" w:rsidRDefault="000A7AF0" w:rsidP="002C7C96">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2C7C96">
              <w:rPr>
                <w:rFonts w:ascii="Times New Roman" w:hAnsi="Times New Roman" w:cs="Times New Roman"/>
                <w:sz w:val="20"/>
                <w:szCs w:val="20"/>
                <w:lang w:val="it-IT"/>
              </w:rPr>
              <w:t>pre-oxidized</w:t>
            </w:r>
          </w:p>
        </w:tc>
        <w:tc>
          <w:tcPr>
            <w:tcW w:w="2700" w:type="dxa"/>
          </w:tcPr>
          <w:p w14:paraId="6A4A2046" w14:textId="5D31CF0F" w:rsidR="000A7AF0" w:rsidRPr="002C7C96" w:rsidRDefault="000A7AF0" w:rsidP="002C7C96">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2C7C96">
              <w:rPr>
                <w:rFonts w:ascii="Times New Roman" w:hAnsi="Times New Roman" w:cs="Times New Roman"/>
                <w:sz w:val="20"/>
                <w:szCs w:val="20"/>
                <w:lang w:val="el-GR"/>
              </w:rPr>
              <w:t>ΔΤ</w:t>
            </w:r>
            <w:r w:rsidRPr="002C7C96">
              <w:rPr>
                <w:rFonts w:ascii="Times New Roman" w:hAnsi="Times New Roman" w:cs="Times New Roman"/>
                <w:sz w:val="20"/>
                <w:szCs w:val="20"/>
                <w:vertAlign w:val="subscript"/>
                <w:lang w:val="en-US"/>
              </w:rPr>
              <w:t>50</w:t>
            </w:r>
            <w:r w:rsidRPr="002C7C96">
              <w:rPr>
                <w:rFonts w:ascii="Times New Roman" w:hAnsi="Times New Roman" w:cs="Times New Roman"/>
                <w:sz w:val="20"/>
                <w:szCs w:val="20"/>
                <w:lang w:val="en-US"/>
              </w:rPr>
              <w:t xml:space="preserve"> (</w:t>
            </w:r>
            <w:proofErr w:type="spellStart"/>
            <w:r w:rsidRPr="002C7C96">
              <w:rPr>
                <w:rFonts w:ascii="Times New Roman" w:hAnsi="Times New Roman" w:cs="Times New Roman"/>
                <w:sz w:val="20"/>
                <w:szCs w:val="20"/>
                <w:vertAlign w:val="superscript"/>
                <w:lang w:val="en-US"/>
              </w:rPr>
              <w:t>o</w:t>
            </w:r>
            <w:r w:rsidRPr="002C7C96">
              <w:rPr>
                <w:rFonts w:ascii="Times New Roman" w:hAnsi="Times New Roman" w:cs="Times New Roman"/>
                <w:sz w:val="20"/>
                <w:szCs w:val="20"/>
                <w:lang w:val="en-US"/>
              </w:rPr>
              <w:t>C</w:t>
            </w:r>
            <w:proofErr w:type="spellEnd"/>
            <w:r w:rsidRPr="002C7C96">
              <w:rPr>
                <w:rFonts w:ascii="Times New Roman" w:hAnsi="Times New Roman" w:cs="Times New Roman"/>
                <w:sz w:val="20"/>
                <w:szCs w:val="20"/>
                <w:lang w:val="en-US"/>
              </w:rPr>
              <w:t>)</w:t>
            </w:r>
          </w:p>
          <w:p w14:paraId="370C740E" w14:textId="195CD483" w:rsidR="000A7AF0" w:rsidRPr="002C7C96" w:rsidRDefault="000A7AF0" w:rsidP="002C7C96">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2C7C96">
              <w:rPr>
                <w:rFonts w:ascii="Times New Roman" w:hAnsi="Times New Roman" w:cs="Times New Roman"/>
                <w:sz w:val="20"/>
                <w:szCs w:val="20"/>
                <w:lang w:val="en-US"/>
              </w:rPr>
              <w:t>pre-reduced  ̶  pre-oxidized</w:t>
            </w:r>
          </w:p>
          <w:p w14:paraId="5FED7215" w14:textId="2B0F0CCE" w:rsidR="000A7AF0" w:rsidRPr="002C7C96" w:rsidRDefault="000A7AF0" w:rsidP="002C7C96">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p>
        </w:tc>
        <w:tc>
          <w:tcPr>
            <w:tcW w:w="1710" w:type="dxa"/>
          </w:tcPr>
          <w:p w14:paraId="0055B51C" w14:textId="6F25DC88" w:rsidR="000A7AF0" w:rsidRPr="002C7C96" w:rsidRDefault="000A7AF0" w:rsidP="002C7C96">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2C7C96">
              <w:rPr>
                <w:rFonts w:ascii="Times New Roman" w:hAnsi="Times New Roman" w:cs="Times New Roman"/>
                <w:sz w:val="20"/>
                <w:szCs w:val="20"/>
                <w:lang w:val="el-GR"/>
              </w:rPr>
              <w:t>ΔΤ</w:t>
            </w:r>
            <w:r w:rsidRPr="002C7C96">
              <w:rPr>
                <w:rFonts w:ascii="Times New Roman" w:hAnsi="Times New Roman" w:cs="Times New Roman"/>
                <w:sz w:val="20"/>
                <w:szCs w:val="20"/>
                <w:vertAlign w:val="subscript"/>
                <w:lang w:val="en-US"/>
              </w:rPr>
              <w:t>50</w:t>
            </w:r>
            <w:r w:rsidRPr="002C7C96">
              <w:rPr>
                <w:rFonts w:ascii="Times New Roman" w:hAnsi="Times New Roman" w:cs="Times New Roman"/>
                <w:sz w:val="20"/>
                <w:szCs w:val="20"/>
                <w:lang w:val="en-US"/>
              </w:rPr>
              <w:t xml:space="preserve"> (</w:t>
            </w:r>
            <w:proofErr w:type="spellStart"/>
            <w:r w:rsidRPr="002C7C96">
              <w:rPr>
                <w:rFonts w:ascii="Times New Roman" w:hAnsi="Times New Roman" w:cs="Times New Roman"/>
                <w:sz w:val="20"/>
                <w:szCs w:val="20"/>
                <w:vertAlign w:val="superscript"/>
                <w:lang w:val="en-US"/>
              </w:rPr>
              <w:t>o</w:t>
            </w:r>
            <w:r w:rsidRPr="002C7C96">
              <w:rPr>
                <w:rFonts w:ascii="Times New Roman" w:hAnsi="Times New Roman" w:cs="Times New Roman"/>
                <w:sz w:val="20"/>
                <w:szCs w:val="20"/>
                <w:lang w:val="en-US"/>
              </w:rPr>
              <w:t>C</w:t>
            </w:r>
            <w:proofErr w:type="spellEnd"/>
            <w:r w:rsidRPr="002C7C96">
              <w:rPr>
                <w:rFonts w:ascii="Times New Roman" w:hAnsi="Times New Roman" w:cs="Times New Roman"/>
                <w:sz w:val="20"/>
                <w:szCs w:val="20"/>
                <w:lang w:val="en-US"/>
              </w:rPr>
              <w:t>)</w:t>
            </w:r>
          </w:p>
          <w:p w14:paraId="01C39083" w14:textId="77777777" w:rsidR="000A7AF0" w:rsidRPr="002C7C96" w:rsidRDefault="000A7AF0" w:rsidP="002C7C96">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proofErr w:type="spellStart"/>
            <w:r w:rsidRPr="002C7C96">
              <w:rPr>
                <w:rFonts w:ascii="Times New Roman" w:hAnsi="Times New Roman" w:cs="Times New Roman"/>
                <w:sz w:val="20"/>
                <w:szCs w:val="20"/>
                <w:lang w:val="en-US"/>
              </w:rPr>
              <w:t>Ir</w:t>
            </w:r>
            <w:proofErr w:type="spellEnd"/>
            <w:r w:rsidRPr="002C7C96">
              <w:rPr>
                <w:rFonts w:ascii="Times New Roman" w:hAnsi="Times New Roman" w:cs="Times New Roman"/>
                <w:sz w:val="20"/>
                <w:szCs w:val="20"/>
                <w:lang w:val="en-US"/>
              </w:rPr>
              <w:t>/LSM  ̶  LSM</w:t>
            </w:r>
          </w:p>
          <w:p w14:paraId="13DBA0AC" w14:textId="468B9482" w:rsidR="000A7AF0" w:rsidRPr="002C7C96" w:rsidRDefault="000A7AF0" w:rsidP="002C7C96">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2C7C96">
              <w:rPr>
                <w:rFonts w:ascii="Times New Roman" w:hAnsi="Times New Roman" w:cs="Times New Roman"/>
                <w:sz w:val="20"/>
                <w:szCs w:val="20"/>
                <w:lang w:val="en-US"/>
              </w:rPr>
              <w:t>(pre-reduced)</w:t>
            </w:r>
          </w:p>
        </w:tc>
        <w:tc>
          <w:tcPr>
            <w:tcW w:w="1710" w:type="dxa"/>
          </w:tcPr>
          <w:p w14:paraId="61D5F1E1" w14:textId="77777777" w:rsidR="000A7AF0" w:rsidRPr="002C7C96" w:rsidRDefault="000A7AF0" w:rsidP="002C7C96">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2C7C96">
              <w:rPr>
                <w:rFonts w:ascii="Times New Roman" w:hAnsi="Times New Roman" w:cs="Times New Roman"/>
                <w:sz w:val="20"/>
                <w:szCs w:val="20"/>
                <w:lang w:val="el-GR"/>
              </w:rPr>
              <w:t>ΔΤ</w:t>
            </w:r>
            <w:r w:rsidRPr="002C7C96">
              <w:rPr>
                <w:rFonts w:ascii="Times New Roman" w:hAnsi="Times New Roman" w:cs="Times New Roman"/>
                <w:sz w:val="20"/>
                <w:szCs w:val="20"/>
                <w:vertAlign w:val="subscript"/>
                <w:lang w:val="en-US"/>
              </w:rPr>
              <w:t>50</w:t>
            </w:r>
            <w:r w:rsidRPr="002C7C96">
              <w:rPr>
                <w:rFonts w:ascii="Times New Roman" w:hAnsi="Times New Roman" w:cs="Times New Roman"/>
                <w:sz w:val="20"/>
                <w:szCs w:val="20"/>
                <w:lang w:val="en-US"/>
              </w:rPr>
              <w:t xml:space="preserve"> (</w:t>
            </w:r>
            <w:proofErr w:type="spellStart"/>
            <w:r w:rsidRPr="002C7C96">
              <w:rPr>
                <w:rFonts w:ascii="Times New Roman" w:hAnsi="Times New Roman" w:cs="Times New Roman"/>
                <w:sz w:val="20"/>
                <w:szCs w:val="20"/>
                <w:vertAlign w:val="superscript"/>
                <w:lang w:val="en-US"/>
              </w:rPr>
              <w:t>o</w:t>
            </w:r>
            <w:r w:rsidRPr="002C7C96">
              <w:rPr>
                <w:rFonts w:ascii="Times New Roman" w:hAnsi="Times New Roman" w:cs="Times New Roman"/>
                <w:sz w:val="20"/>
                <w:szCs w:val="20"/>
                <w:lang w:val="en-US"/>
              </w:rPr>
              <w:t>C</w:t>
            </w:r>
            <w:proofErr w:type="spellEnd"/>
            <w:r w:rsidRPr="002C7C96">
              <w:rPr>
                <w:rFonts w:ascii="Times New Roman" w:hAnsi="Times New Roman" w:cs="Times New Roman"/>
                <w:sz w:val="20"/>
                <w:szCs w:val="20"/>
                <w:lang w:val="en-US"/>
              </w:rPr>
              <w:t>)</w:t>
            </w:r>
          </w:p>
          <w:p w14:paraId="67AD1E47" w14:textId="77777777" w:rsidR="000A7AF0" w:rsidRPr="002C7C96" w:rsidRDefault="000A7AF0" w:rsidP="002C7C96">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proofErr w:type="spellStart"/>
            <w:r w:rsidRPr="002C7C96">
              <w:rPr>
                <w:rFonts w:ascii="Times New Roman" w:hAnsi="Times New Roman" w:cs="Times New Roman"/>
                <w:sz w:val="20"/>
                <w:szCs w:val="20"/>
                <w:lang w:val="en-US"/>
              </w:rPr>
              <w:t>Ir</w:t>
            </w:r>
            <w:proofErr w:type="spellEnd"/>
            <w:r w:rsidRPr="002C7C96">
              <w:rPr>
                <w:rFonts w:ascii="Times New Roman" w:hAnsi="Times New Roman" w:cs="Times New Roman"/>
                <w:sz w:val="20"/>
                <w:szCs w:val="20"/>
                <w:lang w:val="en-US"/>
              </w:rPr>
              <w:t>/LSM  ̶  LSM</w:t>
            </w:r>
          </w:p>
          <w:p w14:paraId="08ADAB42" w14:textId="333D33C1" w:rsidR="000A7AF0" w:rsidRPr="002C7C96" w:rsidRDefault="000A7AF0" w:rsidP="002C7C96">
            <w:pPr>
              <w:pStyle w:val="TITLE2"/>
              <w:tabs>
                <w:tab w:val="clear" w:pos="9498"/>
                <w:tab w:val="left" w:pos="282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2C7C96">
              <w:rPr>
                <w:rFonts w:ascii="Times New Roman" w:hAnsi="Times New Roman" w:cs="Times New Roman"/>
                <w:sz w:val="20"/>
                <w:szCs w:val="20"/>
                <w:lang w:val="en-US"/>
              </w:rPr>
              <w:t>(pre-oxidized)</w:t>
            </w:r>
          </w:p>
        </w:tc>
      </w:tr>
      <w:tr w:rsidR="000A7AF0" w:rsidRPr="00A6555A" w14:paraId="07C3FA2C" w14:textId="098FC272" w:rsidTr="005A0889">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708B59AB" w14:textId="38C51E02" w:rsidR="000A7AF0" w:rsidRPr="002C7C96" w:rsidRDefault="000A7AF0" w:rsidP="00A6555A">
            <w:pPr>
              <w:pStyle w:val="TITLE2"/>
              <w:tabs>
                <w:tab w:val="clear" w:pos="9498"/>
                <w:tab w:val="left" w:pos="2820"/>
              </w:tabs>
              <w:spacing w:before="0" w:after="0" w:line="240" w:lineRule="auto"/>
              <w:jc w:val="center"/>
              <w:rPr>
                <w:rFonts w:ascii="Times New Roman" w:hAnsi="Times New Roman" w:cs="Times New Roman"/>
                <w:sz w:val="20"/>
                <w:szCs w:val="20"/>
                <w:lang w:val="it-IT"/>
              </w:rPr>
            </w:pPr>
            <w:r w:rsidRPr="002C7C96">
              <w:rPr>
                <w:rFonts w:ascii="Times New Roman" w:hAnsi="Times New Roman" w:cs="Times New Roman"/>
                <w:sz w:val="20"/>
                <w:szCs w:val="20"/>
                <w:lang w:val="it-IT"/>
              </w:rPr>
              <w:t>LSM00</w:t>
            </w:r>
          </w:p>
        </w:tc>
        <w:tc>
          <w:tcPr>
            <w:tcW w:w="1350" w:type="dxa"/>
            <w:shd w:val="clear" w:color="auto" w:fill="auto"/>
          </w:tcPr>
          <w:p w14:paraId="2CFBD9AD" w14:textId="66A5AFEA"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0"/>
                <w:szCs w:val="20"/>
                <w:lang w:val="it-IT"/>
              </w:rPr>
            </w:pPr>
            <w:r w:rsidRPr="00A6555A">
              <w:rPr>
                <w:rFonts w:ascii="Times New Roman" w:hAnsi="Times New Roman" w:cs="Times New Roman"/>
                <w:b w:val="0"/>
                <w:bCs/>
                <w:sz w:val="20"/>
                <w:szCs w:val="20"/>
                <w:lang w:val="it-IT"/>
              </w:rPr>
              <w:t>314</w:t>
            </w:r>
          </w:p>
        </w:tc>
        <w:tc>
          <w:tcPr>
            <w:tcW w:w="1350" w:type="dxa"/>
            <w:shd w:val="clear" w:color="auto" w:fill="auto"/>
          </w:tcPr>
          <w:p w14:paraId="41B8172F" w14:textId="3DAA9728"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0"/>
                <w:szCs w:val="20"/>
                <w:lang w:val="it-IT"/>
              </w:rPr>
            </w:pPr>
            <w:r w:rsidRPr="00A6555A">
              <w:rPr>
                <w:rFonts w:ascii="Times New Roman" w:hAnsi="Times New Roman" w:cs="Times New Roman"/>
                <w:b w:val="0"/>
                <w:color w:val="auto"/>
                <w:sz w:val="20"/>
                <w:szCs w:val="20"/>
                <w:lang w:val="it-IT"/>
              </w:rPr>
              <w:t>385</w:t>
            </w:r>
          </w:p>
        </w:tc>
        <w:tc>
          <w:tcPr>
            <w:tcW w:w="2700" w:type="dxa"/>
            <w:shd w:val="clear" w:color="auto" w:fill="auto"/>
          </w:tcPr>
          <w:p w14:paraId="7EB3F77E" w14:textId="19515ACB"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0"/>
                <w:szCs w:val="20"/>
                <w:lang w:val="it-IT"/>
              </w:rPr>
            </w:pPr>
            <w:r w:rsidRPr="00A6555A">
              <w:rPr>
                <w:rFonts w:ascii="Times New Roman" w:hAnsi="Times New Roman" w:cs="Times New Roman"/>
                <w:b w:val="0"/>
                <w:sz w:val="20"/>
                <w:szCs w:val="20"/>
                <w:lang w:val="it-IT"/>
              </w:rPr>
              <w:t>-71</w:t>
            </w:r>
          </w:p>
        </w:tc>
        <w:tc>
          <w:tcPr>
            <w:tcW w:w="1710" w:type="dxa"/>
            <w:shd w:val="clear" w:color="auto" w:fill="auto"/>
          </w:tcPr>
          <w:p w14:paraId="49620A2C" w14:textId="77777777"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0"/>
                <w:szCs w:val="20"/>
                <w:lang w:val="it-IT"/>
              </w:rPr>
            </w:pPr>
          </w:p>
        </w:tc>
        <w:tc>
          <w:tcPr>
            <w:tcW w:w="1710" w:type="dxa"/>
            <w:shd w:val="clear" w:color="auto" w:fill="auto"/>
          </w:tcPr>
          <w:p w14:paraId="6B233D1E" w14:textId="77777777"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0"/>
                <w:szCs w:val="20"/>
                <w:lang w:val="it-IT"/>
              </w:rPr>
            </w:pPr>
          </w:p>
        </w:tc>
      </w:tr>
      <w:tr w:rsidR="000A7AF0" w:rsidRPr="00A6555A" w14:paraId="7B292351" w14:textId="41ECA075" w:rsidTr="005A0889">
        <w:trPr>
          <w:trHeight w:val="156"/>
        </w:trPr>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046129E7" w14:textId="77777777" w:rsidR="000A7AF0" w:rsidRPr="002C7C96" w:rsidRDefault="000A7AF0" w:rsidP="00A6555A">
            <w:pPr>
              <w:pStyle w:val="TITLE2"/>
              <w:tabs>
                <w:tab w:val="clear" w:pos="9498"/>
                <w:tab w:val="left" w:pos="2820"/>
              </w:tabs>
              <w:spacing w:before="0" w:after="0" w:line="240" w:lineRule="auto"/>
              <w:jc w:val="center"/>
              <w:rPr>
                <w:rFonts w:ascii="Times New Roman" w:hAnsi="Times New Roman" w:cs="Times New Roman"/>
                <w:sz w:val="20"/>
                <w:szCs w:val="20"/>
                <w:lang w:val="it-IT"/>
              </w:rPr>
            </w:pPr>
            <w:r w:rsidRPr="002C7C96">
              <w:rPr>
                <w:rFonts w:ascii="Times New Roman" w:hAnsi="Times New Roman" w:cs="Times New Roman"/>
                <w:sz w:val="20"/>
                <w:szCs w:val="20"/>
                <w:lang w:val="it-IT"/>
              </w:rPr>
              <w:t>LSM30</w:t>
            </w:r>
          </w:p>
        </w:tc>
        <w:tc>
          <w:tcPr>
            <w:tcW w:w="1350" w:type="dxa"/>
            <w:shd w:val="clear" w:color="auto" w:fill="auto"/>
          </w:tcPr>
          <w:p w14:paraId="1E913413" w14:textId="7D5A8137"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0"/>
                <w:szCs w:val="20"/>
                <w:lang w:val="it-IT"/>
              </w:rPr>
            </w:pPr>
            <w:r w:rsidRPr="00A6555A">
              <w:rPr>
                <w:rFonts w:ascii="Times New Roman" w:hAnsi="Times New Roman" w:cs="Times New Roman"/>
                <w:b w:val="0"/>
                <w:bCs/>
                <w:sz w:val="20"/>
                <w:szCs w:val="20"/>
                <w:lang w:val="it-IT"/>
              </w:rPr>
              <w:t>331</w:t>
            </w:r>
          </w:p>
        </w:tc>
        <w:tc>
          <w:tcPr>
            <w:tcW w:w="1350" w:type="dxa"/>
            <w:shd w:val="clear" w:color="auto" w:fill="auto"/>
          </w:tcPr>
          <w:p w14:paraId="0C837D4A" w14:textId="5475BAF0"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lang w:val="it-IT"/>
              </w:rPr>
            </w:pPr>
            <w:r w:rsidRPr="00A6555A">
              <w:rPr>
                <w:rFonts w:ascii="Times New Roman" w:hAnsi="Times New Roman" w:cs="Times New Roman"/>
                <w:b w:val="0"/>
                <w:color w:val="auto"/>
                <w:sz w:val="20"/>
                <w:szCs w:val="20"/>
                <w:lang w:val="it-IT"/>
              </w:rPr>
              <w:t>340</w:t>
            </w:r>
          </w:p>
        </w:tc>
        <w:tc>
          <w:tcPr>
            <w:tcW w:w="2700" w:type="dxa"/>
            <w:shd w:val="clear" w:color="auto" w:fill="auto"/>
          </w:tcPr>
          <w:p w14:paraId="5167E4EA" w14:textId="6114CFDF"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it-IT"/>
              </w:rPr>
            </w:pPr>
            <w:r w:rsidRPr="00A6555A">
              <w:rPr>
                <w:rFonts w:ascii="Times New Roman" w:hAnsi="Times New Roman" w:cs="Times New Roman"/>
                <w:b w:val="0"/>
                <w:sz w:val="20"/>
                <w:szCs w:val="20"/>
                <w:lang w:val="it-IT"/>
              </w:rPr>
              <w:t>-9</w:t>
            </w:r>
          </w:p>
        </w:tc>
        <w:tc>
          <w:tcPr>
            <w:tcW w:w="1710" w:type="dxa"/>
            <w:shd w:val="clear" w:color="auto" w:fill="auto"/>
          </w:tcPr>
          <w:p w14:paraId="4B35C21D" w14:textId="77777777"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it-IT"/>
              </w:rPr>
            </w:pPr>
          </w:p>
        </w:tc>
        <w:tc>
          <w:tcPr>
            <w:tcW w:w="1710" w:type="dxa"/>
            <w:shd w:val="clear" w:color="auto" w:fill="auto"/>
          </w:tcPr>
          <w:p w14:paraId="2DD48C62" w14:textId="77777777"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it-IT"/>
              </w:rPr>
            </w:pPr>
          </w:p>
        </w:tc>
      </w:tr>
      <w:tr w:rsidR="000A7AF0" w:rsidRPr="00A6555A" w14:paraId="72784B06" w14:textId="4E1A6A4F" w:rsidTr="005A0889">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743CDE12" w14:textId="77777777" w:rsidR="000A7AF0" w:rsidRPr="002C7C96" w:rsidRDefault="000A7AF0" w:rsidP="00A6555A">
            <w:pPr>
              <w:pStyle w:val="TITLE2"/>
              <w:tabs>
                <w:tab w:val="clear" w:pos="9498"/>
                <w:tab w:val="left" w:pos="2820"/>
              </w:tabs>
              <w:spacing w:before="0" w:after="0" w:line="240" w:lineRule="auto"/>
              <w:jc w:val="center"/>
              <w:rPr>
                <w:rFonts w:ascii="Times New Roman" w:hAnsi="Times New Roman" w:cs="Times New Roman"/>
                <w:sz w:val="20"/>
                <w:szCs w:val="20"/>
                <w:lang w:val="it-IT"/>
              </w:rPr>
            </w:pPr>
            <w:r w:rsidRPr="002C7C96">
              <w:rPr>
                <w:rFonts w:ascii="Times New Roman" w:hAnsi="Times New Roman" w:cs="Times New Roman"/>
                <w:sz w:val="20"/>
                <w:szCs w:val="20"/>
                <w:lang w:val="it-IT"/>
              </w:rPr>
              <w:t>LSM50</w:t>
            </w:r>
          </w:p>
        </w:tc>
        <w:tc>
          <w:tcPr>
            <w:tcW w:w="1350" w:type="dxa"/>
            <w:shd w:val="clear" w:color="auto" w:fill="auto"/>
          </w:tcPr>
          <w:p w14:paraId="5E205E49" w14:textId="141C19B0"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0"/>
                <w:szCs w:val="20"/>
                <w:lang w:val="it-IT"/>
              </w:rPr>
            </w:pPr>
            <w:r w:rsidRPr="00A6555A">
              <w:rPr>
                <w:rFonts w:ascii="Times New Roman" w:hAnsi="Times New Roman" w:cs="Times New Roman"/>
                <w:b w:val="0"/>
                <w:bCs/>
                <w:sz w:val="20"/>
                <w:szCs w:val="20"/>
                <w:lang w:val="it-IT"/>
              </w:rPr>
              <w:t>322</w:t>
            </w:r>
          </w:p>
        </w:tc>
        <w:tc>
          <w:tcPr>
            <w:tcW w:w="1350" w:type="dxa"/>
            <w:shd w:val="clear" w:color="auto" w:fill="auto"/>
          </w:tcPr>
          <w:p w14:paraId="61130034" w14:textId="4391681F"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0"/>
                <w:szCs w:val="20"/>
                <w:lang w:val="it-IT"/>
              </w:rPr>
            </w:pPr>
            <w:r w:rsidRPr="00A6555A">
              <w:rPr>
                <w:rFonts w:ascii="Times New Roman" w:hAnsi="Times New Roman" w:cs="Times New Roman"/>
                <w:b w:val="0"/>
                <w:color w:val="auto"/>
                <w:sz w:val="20"/>
                <w:szCs w:val="20"/>
                <w:lang w:val="it-IT"/>
              </w:rPr>
              <w:t>318</w:t>
            </w:r>
          </w:p>
        </w:tc>
        <w:tc>
          <w:tcPr>
            <w:tcW w:w="2700" w:type="dxa"/>
            <w:shd w:val="clear" w:color="auto" w:fill="auto"/>
          </w:tcPr>
          <w:p w14:paraId="55D7D2BB" w14:textId="76778BB4"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0"/>
                <w:szCs w:val="20"/>
                <w:lang w:val="it-IT"/>
              </w:rPr>
            </w:pPr>
            <w:r w:rsidRPr="00A6555A">
              <w:rPr>
                <w:rFonts w:ascii="Times New Roman" w:hAnsi="Times New Roman" w:cs="Times New Roman"/>
                <w:b w:val="0"/>
                <w:sz w:val="20"/>
                <w:szCs w:val="20"/>
                <w:lang w:val="it-IT"/>
              </w:rPr>
              <w:t>+4</w:t>
            </w:r>
          </w:p>
        </w:tc>
        <w:tc>
          <w:tcPr>
            <w:tcW w:w="1710" w:type="dxa"/>
            <w:shd w:val="clear" w:color="auto" w:fill="auto"/>
          </w:tcPr>
          <w:p w14:paraId="7B57D7F9" w14:textId="77777777"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0"/>
                <w:szCs w:val="20"/>
                <w:lang w:val="it-IT"/>
              </w:rPr>
            </w:pPr>
          </w:p>
        </w:tc>
        <w:tc>
          <w:tcPr>
            <w:tcW w:w="1710" w:type="dxa"/>
            <w:shd w:val="clear" w:color="auto" w:fill="auto"/>
          </w:tcPr>
          <w:p w14:paraId="666D4950" w14:textId="77777777"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0"/>
                <w:szCs w:val="20"/>
                <w:lang w:val="it-IT"/>
              </w:rPr>
            </w:pPr>
          </w:p>
        </w:tc>
      </w:tr>
      <w:tr w:rsidR="000A7AF0" w:rsidRPr="00A6555A" w14:paraId="3C2F1173" w14:textId="09A2827E" w:rsidTr="005A0889">
        <w:trPr>
          <w:trHeight w:val="150"/>
        </w:trPr>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0BE323AA" w14:textId="77777777" w:rsidR="000A7AF0" w:rsidRPr="002C7C96" w:rsidRDefault="000A7AF0" w:rsidP="00A6555A">
            <w:pPr>
              <w:pStyle w:val="TITLE2"/>
              <w:tabs>
                <w:tab w:val="clear" w:pos="9498"/>
                <w:tab w:val="left" w:pos="2820"/>
              </w:tabs>
              <w:spacing w:before="0" w:after="0" w:line="240" w:lineRule="auto"/>
              <w:jc w:val="center"/>
              <w:rPr>
                <w:rFonts w:ascii="Times New Roman" w:hAnsi="Times New Roman" w:cs="Times New Roman"/>
                <w:sz w:val="20"/>
                <w:szCs w:val="20"/>
                <w:lang w:val="it-IT"/>
              </w:rPr>
            </w:pPr>
            <w:r w:rsidRPr="002C7C96">
              <w:rPr>
                <w:rFonts w:ascii="Times New Roman" w:hAnsi="Times New Roman" w:cs="Times New Roman"/>
                <w:sz w:val="20"/>
                <w:szCs w:val="20"/>
                <w:lang w:val="it-IT"/>
              </w:rPr>
              <w:t>LSM70</w:t>
            </w:r>
          </w:p>
          <w:p w14:paraId="23DBD540" w14:textId="77777777" w:rsidR="000A7AF0" w:rsidRPr="002C7C96" w:rsidRDefault="000A7AF0" w:rsidP="00A6555A">
            <w:pPr>
              <w:pStyle w:val="TEXT"/>
              <w:jc w:val="center"/>
              <w:rPr>
                <w:rFonts w:ascii="Times New Roman" w:hAnsi="Times New Roman" w:cs="Times New Roman"/>
                <w:b w:val="0"/>
                <w:sz w:val="20"/>
                <w:szCs w:val="20"/>
              </w:rPr>
            </w:pPr>
          </w:p>
        </w:tc>
        <w:tc>
          <w:tcPr>
            <w:tcW w:w="1350" w:type="dxa"/>
            <w:shd w:val="clear" w:color="auto" w:fill="auto"/>
          </w:tcPr>
          <w:p w14:paraId="4390BD56" w14:textId="15122E69"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it-IT"/>
              </w:rPr>
            </w:pPr>
            <w:r w:rsidRPr="00A6555A">
              <w:rPr>
                <w:rFonts w:ascii="Times New Roman" w:hAnsi="Times New Roman" w:cs="Times New Roman"/>
                <w:b w:val="0"/>
                <w:sz w:val="20"/>
                <w:szCs w:val="20"/>
                <w:lang w:val="it-IT"/>
              </w:rPr>
              <w:t>337</w:t>
            </w:r>
          </w:p>
        </w:tc>
        <w:tc>
          <w:tcPr>
            <w:tcW w:w="1350" w:type="dxa"/>
            <w:shd w:val="clear" w:color="auto" w:fill="auto"/>
          </w:tcPr>
          <w:p w14:paraId="778585E1" w14:textId="3C544C6C"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lang w:val="it-IT"/>
              </w:rPr>
            </w:pPr>
            <w:r w:rsidRPr="00A6555A">
              <w:rPr>
                <w:rFonts w:ascii="Times New Roman" w:hAnsi="Times New Roman" w:cs="Times New Roman"/>
                <w:b w:val="0"/>
                <w:color w:val="auto"/>
                <w:sz w:val="20"/>
                <w:szCs w:val="20"/>
                <w:lang w:val="it-IT"/>
              </w:rPr>
              <w:t>362</w:t>
            </w:r>
          </w:p>
        </w:tc>
        <w:tc>
          <w:tcPr>
            <w:tcW w:w="2700" w:type="dxa"/>
            <w:shd w:val="clear" w:color="auto" w:fill="auto"/>
          </w:tcPr>
          <w:p w14:paraId="7647AF54" w14:textId="63377598"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it-IT"/>
              </w:rPr>
            </w:pPr>
            <w:r w:rsidRPr="00A6555A">
              <w:rPr>
                <w:rFonts w:ascii="Times New Roman" w:hAnsi="Times New Roman" w:cs="Times New Roman"/>
                <w:b w:val="0"/>
                <w:sz w:val="20"/>
                <w:szCs w:val="20"/>
                <w:lang w:val="it-IT"/>
              </w:rPr>
              <w:t>-25</w:t>
            </w:r>
          </w:p>
        </w:tc>
        <w:tc>
          <w:tcPr>
            <w:tcW w:w="1710" w:type="dxa"/>
            <w:shd w:val="clear" w:color="auto" w:fill="auto"/>
          </w:tcPr>
          <w:p w14:paraId="0C932014" w14:textId="77777777"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it-IT"/>
              </w:rPr>
            </w:pPr>
          </w:p>
        </w:tc>
        <w:tc>
          <w:tcPr>
            <w:tcW w:w="1710" w:type="dxa"/>
            <w:shd w:val="clear" w:color="auto" w:fill="auto"/>
          </w:tcPr>
          <w:p w14:paraId="3A74DBFD" w14:textId="77777777"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it-IT"/>
              </w:rPr>
            </w:pPr>
          </w:p>
        </w:tc>
      </w:tr>
      <w:tr w:rsidR="000A7AF0" w:rsidRPr="00A6555A" w14:paraId="314918D4" w14:textId="302845F0" w:rsidTr="005A0889">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74BD3A5F" w14:textId="77777777" w:rsidR="000A7AF0" w:rsidRPr="002C7C96" w:rsidRDefault="000A7AF0" w:rsidP="00A6555A">
            <w:pPr>
              <w:pStyle w:val="TITLE2"/>
              <w:tabs>
                <w:tab w:val="clear" w:pos="9498"/>
                <w:tab w:val="left" w:pos="2820"/>
              </w:tabs>
              <w:spacing w:before="0" w:after="0" w:line="240" w:lineRule="auto"/>
              <w:jc w:val="center"/>
              <w:rPr>
                <w:rFonts w:ascii="Times New Roman" w:hAnsi="Times New Roman" w:cs="Times New Roman"/>
                <w:sz w:val="20"/>
                <w:szCs w:val="20"/>
                <w:lang w:val="it-IT"/>
              </w:rPr>
            </w:pPr>
            <w:r w:rsidRPr="002C7C96">
              <w:rPr>
                <w:rFonts w:ascii="Times New Roman" w:hAnsi="Times New Roman" w:cs="Times New Roman"/>
                <w:sz w:val="20"/>
                <w:szCs w:val="20"/>
                <w:lang w:val="it-IT"/>
              </w:rPr>
              <w:t>Ir-LSM00</w:t>
            </w:r>
          </w:p>
        </w:tc>
        <w:tc>
          <w:tcPr>
            <w:tcW w:w="1350" w:type="dxa"/>
            <w:shd w:val="clear" w:color="auto" w:fill="auto"/>
          </w:tcPr>
          <w:p w14:paraId="1A75474C" w14:textId="05FF9361"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auto"/>
                <w:sz w:val="20"/>
                <w:szCs w:val="20"/>
                <w:lang w:val="el-GR"/>
              </w:rPr>
            </w:pPr>
            <w:r w:rsidRPr="00A6555A">
              <w:rPr>
                <w:rFonts w:ascii="Times New Roman" w:hAnsi="Times New Roman" w:cs="Times New Roman"/>
                <w:b w:val="0"/>
                <w:bCs/>
                <w:color w:val="auto"/>
                <w:sz w:val="20"/>
                <w:szCs w:val="20"/>
                <w:lang w:val="it-IT"/>
              </w:rPr>
              <w:t>235</w:t>
            </w:r>
          </w:p>
        </w:tc>
        <w:tc>
          <w:tcPr>
            <w:tcW w:w="1350" w:type="dxa"/>
            <w:shd w:val="clear" w:color="auto" w:fill="auto"/>
          </w:tcPr>
          <w:p w14:paraId="2E48B91A" w14:textId="090498F0"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0"/>
                <w:szCs w:val="20"/>
                <w:lang w:val="it-IT"/>
              </w:rPr>
            </w:pPr>
            <w:r w:rsidRPr="00A6555A">
              <w:rPr>
                <w:rFonts w:ascii="Times New Roman" w:hAnsi="Times New Roman" w:cs="Times New Roman"/>
                <w:b w:val="0"/>
                <w:color w:val="auto"/>
                <w:sz w:val="20"/>
                <w:szCs w:val="20"/>
                <w:lang w:val="it-IT"/>
              </w:rPr>
              <w:t>305</w:t>
            </w:r>
          </w:p>
        </w:tc>
        <w:tc>
          <w:tcPr>
            <w:tcW w:w="2700" w:type="dxa"/>
            <w:shd w:val="clear" w:color="auto" w:fill="auto"/>
          </w:tcPr>
          <w:p w14:paraId="1B196AD5" w14:textId="61A73623"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0"/>
                <w:szCs w:val="20"/>
                <w:lang w:val="it-IT"/>
              </w:rPr>
            </w:pPr>
            <w:r w:rsidRPr="00A6555A">
              <w:rPr>
                <w:rFonts w:ascii="Times New Roman" w:hAnsi="Times New Roman" w:cs="Times New Roman"/>
                <w:b w:val="0"/>
                <w:sz w:val="20"/>
                <w:szCs w:val="20"/>
                <w:lang w:val="it-IT"/>
              </w:rPr>
              <w:t>-70</w:t>
            </w:r>
          </w:p>
        </w:tc>
        <w:tc>
          <w:tcPr>
            <w:tcW w:w="1710" w:type="dxa"/>
            <w:shd w:val="clear" w:color="auto" w:fill="auto"/>
          </w:tcPr>
          <w:p w14:paraId="2494FBDE" w14:textId="1A8A400D"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0"/>
                <w:szCs w:val="20"/>
                <w:lang w:val="it-IT"/>
              </w:rPr>
            </w:pPr>
            <w:r w:rsidRPr="00A6555A">
              <w:rPr>
                <w:rFonts w:ascii="Times New Roman" w:hAnsi="Times New Roman" w:cs="Times New Roman"/>
                <w:b w:val="0"/>
                <w:sz w:val="20"/>
                <w:szCs w:val="20"/>
                <w:lang w:val="it-IT"/>
              </w:rPr>
              <w:t>-79</w:t>
            </w:r>
          </w:p>
        </w:tc>
        <w:tc>
          <w:tcPr>
            <w:tcW w:w="1710" w:type="dxa"/>
            <w:shd w:val="clear" w:color="auto" w:fill="auto"/>
          </w:tcPr>
          <w:p w14:paraId="140FD78A" w14:textId="4DF753EC"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0"/>
                <w:szCs w:val="20"/>
                <w:lang w:val="it-IT"/>
              </w:rPr>
            </w:pPr>
            <w:r>
              <w:rPr>
                <w:rFonts w:ascii="Times New Roman" w:hAnsi="Times New Roman" w:cs="Times New Roman"/>
                <w:b w:val="0"/>
                <w:sz w:val="20"/>
                <w:szCs w:val="20"/>
                <w:lang w:val="it-IT"/>
              </w:rPr>
              <w:t>-80</w:t>
            </w:r>
          </w:p>
        </w:tc>
      </w:tr>
      <w:tr w:rsidR="000A7AF0" w:rsidRPr="00A6555A" w14:paraId="69D3B381" w14:textId="3ECC8A52" w:rsidTr="005A0889">
        <w:trPr>
          <w:trHeight w:val="235"/>
        </w:trPr>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5C4A3C2E" w14:textId="77777777" w:rsidR="000A7AF0" w:rsidRPr="002C7C96" w:rsidRDefault="000A7AF0" w:rsidP="00A6555A">
            <w:pPr>
              <w:pStyle w:val="TITLE2"/>
              <w:tabs>
                <w:tab w:val="clear" w:pos="9498"/>
                <w:tab w:val="left" w:pos="2820"/>
              </w:tabs>
              <w:spacing w:before="0" w:after="0" w:line="240" w:lineRule="auto"/>
              <w:jc w:val="center"/>
              <w:rPr>
                <w:rFonts w:ascii="Times New Roman" w:hAnsi="Times New Roman" w:cs="Times New Roman"/>
                <w:sz w:val="20"/>
                <w:szCs w:val="20"/>
                <w:lang w:val="it-IT"/>
              </w:rPr>
            </w:pPr>
            <w:r w:rsidRPr="002C7C96">
              <w:rPr>
                <w:rFonts w:ascii="Times New Roman" w:hAnsi="Times New Roman" w:cs="Times New Roman"/>
                <w:sz w:val="20"/>
                <w:szCs w:val="20"/>
                <w:lang w:val="it-IT"/>
              </w:rPr>
              <w:t>Ir-LSM30</w:t>
            </w:r>
          </w:p>
        </w:tc>
        <w:tc>
          <w:tcPr>
            <w:tcW w:w="1350" w:type="dxa"/>
            <w:shd w:val="clear" w:color="auto" w:fill="auto"/>
          </w:tcPr>
          <w:p w14:paraId="26F38F46" w14:textId="3EAA365C"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lang w:val="it-IT"/>
              </w:rPr>
            </w:pPr>
            <w:r w:rsidRPr="00A6555A">
              <w:rPr>
                <w:rFonts w:ascii="Times New Roman" w:hAnsi="Times New Roman" w:cs="Times New Roman"/>
                <w:b w:val="0"/>
                <w:bCs/>
                <w:color w:val="auto"/>
                <w:sz w:val="20"/>
                <w:szCs w:val="20"/>
                <w:lang w:val="it-IT"/>
              </w:rPr>
              <w:t>246</w:t>
            </w:r>
          </w:p>
        </w:tc>
        <w:tc>
          <w:tcPr>
            <w:tcW w:w="1350" w:type="dxa"/>
            <w:shd w:val="clear" w:color="auto" w:fill="auto"/>
          </w:tcPr>
          <w:p w14:paraId="7B2BD520" w14:textId="106BF087"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lang w:val="it-IT"/>
              </w:rPr>
            </w:pPr>
            <w:r w:rsidRPr="00A6555A">
              <w:rPr>
                <w:rFonts w:ascii="Times New Roman" w:hAnsi="Times New Roman" w:cs="Times New Roman"/>
                <w:b w:val="0"/>
                <w:color w:val="auto"/>
                <w:sz w:val="20"/>
                <w:szCs w:val="20"/>
                <w:lang w:val="it-IT"/>
              </w:rPr>
              <w:t>286</w:t>
            </w:r>
          </w:p>
        </w:tc>
        <w:tc>
          <w:tcPr>
            <w:tcW w:w="2700" w:type="dxa"/>
            <w:shd w:val="clear" w:color="auto" w:fill="auto"/>
          </w:tcPr>
          <w:p w14:paraId="3BE1CE27" w14:textId="66D4C876"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it-IT"/>
              </w:rPr>
            </w:pPr>
            <w:r w:rsidRPr="00A6555A">
              <w:rPr>
                <w:rFonts w:ascii="Times New Roman" w:hAnsi="Times New Roman" w:cs="Times New Roman"/>
                <w:b w:val="0"/>
                <w:sz w:val="20"/>
                <w:szCs w:val="20"/>
                <w:lang w:val="it-IT"/>
              </w:rPr>
              <w:t>-40</w:t>
            </w:r>
          </w:p>
        </w:tc>
        <w:tc>
          <w:tcPr>
            <w:tcW w:w="1710" w:type="dxa"/>
            <w:shd w:val="clear" w:color="auto" w:fill="auto"/>
          </w:tcPr>
          <w:p w14:paraId="4AF3873F" w14:textId="44C7E2E7"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it-IT"/>
              </w:rPr>
            </w:pPr>
            <w:r w:rsidRPr="00A6555A">
              <w:rPr>
                <w:rFonts w:ascii="Times New Roman" w:hAnsi="Times New Roman" w:cs="Times New Roman"/>
                <w:b w:val="0"/>
                <w:sz w:val="20"/>
                <w:szCs w:val="20"/>
                <w:lang w:val="it-IT"/>
              </w:rPr>
              <w:t>-85</w:t>
            </w:r>
          </w:p>
        </w:tc>
        <w:tc>
          <w:tcPr>
            <w:tcW w:w="1710" w:type="dxa"/>
            <w:shd w:val="clear" w:color="auto" w:fill="auto"/>
          </w:tcPr>
          <w:p w14:paraId="47E346AD" w14:textId="245B524A"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it-IT"/>
              </w:rPr>
            </w:pPr>
            <w:r>
              <w:rPr>
                <w:rFonts w:ascii="Times New Roman" w:hAnsi="Times New Roman" w:cs="Times New Roman"/>
                <w:b w:val="0"/>
                <w:sz w:val="20"/>
                <w:szCs w:val="20"/>
                <w:lang w:val="it-IT"/>
              </w:rPr>
              <w:t>-54</w:t>
            </w:r>
          </w:p>
        </w:tc>
      </w:tr>
      <w:tr w:rsidR="000A7AF0" w:rsidRPr="00A6555A" w14:paraId="4702B3B0" w14:textId="751B4159" w:rsidTr="005A0889">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799A5638" w14:textId="77777777" w:rsidR="000A7AF0" w:rsidRPr="002C7C96" w:rsidRDefault="000A7AF0" w:rsidP="00A6555A">
            <w:pPr>
              <w:pStyle w:val="TITLE2"/>
              <w:tabs>
                <w:tab w:val="clear" w:pos="9498"/>
                <w:tab w:val="left" w:pos="2820"/>
              </w:tabs>
              <w:spacing w:before="0" w:after="0" w:line="240" w:lineRule="auto"/>
              <w:jc w:val="center"/>
              <w:rPr>
                <w:rFonts w:ascii="Times New Roman" w:hAnsi="Times New Roman" w:cs="Times New Roman"/>
                <w:sz w:val="20"/>
                <w:szCs w:val="20"/>
                <w:lang w:val="it-IT"/>
              </w:rPr>
            </w:pPr>
            <w:r w:rsidRPr="002C7C96">
              <w:rPr>
                <w:rFonts w:ascii="Times New Roman" w:hAnsi="Times New Roman" w:cs="Times New Roman"/>
                <w:sz w:val="20"/>
                <w:szCs w:val="20"/>
                <w:lang w:val="it-IT"/>
              </w:rPr>
              <w:t>Ir-LSM50</w:t>
            </w:r>
          </w:p>
        </w:tc>
        <w:tc>
          <w:tcPr>
            <w:tcW w:w="1350" w:type="dxa"/>
            <w:shd w:val="clear" w:color="auto" w:fill="auto"/>
          </w:tcPr>
          <w:p w14:paraId="30EA93F0" w14:textId="22F43E6A"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0"/>
                <w:szCs w:val="20"/>
                <w:lang w:val="it-IT"/>
              </w:rPr>
            </w:pPr>
            <w:r w:rsidRPr="00A6555A">
              <w:rPr>
                <w:rFonts w:ascii="Times New Roman" w:hAnsi="Times New Roman" w:cs="Times New Roman"/>
                <w:b w:val="0"/>
                <w:color w:val="auto"/>
                <w:sz w:val="20"/>
                <w:szCs w:val="20"/>
                <w:lang w:val="it-IT"/>
              </w:rPr>
              <w:t>262</w:t>
            </w:r>
          </w:p>
        </w:tc>
        <w:tc>
          <w:tcPr>
            <w:tcW w:w="1350" w:type="dxa"/>
            <w:shd w:val="clear" w:color="auto" w:fill="auto"/>
          </w:tcPr>
          <w:p w14:paraId="2002B0CC" w14:textId="17F72D82"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0"/>
                <w:szCs w:val="20"/>
                <w:lang w:val="it-IT"/>
              </w:rPr>
            </w:pPr>
            <w:r w:rsidRPr="00A6555A">
              <w:rPr>
                <w:rFonts w:ascii="Times New Roman" w:hAnsi="Times New Roman" w:cs="Times New Roman"/>
                <w:b w:val="0"/>
                <w:color w:val="auto"/>
                <w:sz w:val="20"/>
                <w:szCs w:val="20"/>
                <w:lang w:val="it-IT"/>
              </w:rPr>
              <w:t>292</w:t>
            </w:r>
          </w:p>
        </w:tc>
        <w:tc>
          <w:tcPr>
            <w:tcW w:w="2700" w:type="dxa"/>
            <w:shd w:val="clear" w:color="auto" w:fill="auto"/>
          </w:tcPr>
          <w:p w14:paraId="1FA508EE" w14:textId="0C1B385A"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0"/>
                <w:szCs w:val="20"/>
                <w:lang w:val="it-IT"/>
              </w:rPr>
            </w:pPr>
            <w:r w:rsidRPr="00A6555A">
              <w:rPr>
                <w:rFonts w:ascii="Times New Roman" w:hAnsi="Times New Roman" w:cs="Times New Roman"/>
                <w:b w:val="0"/>
                <w:sz w:val="20"/>
                <w:szCs w:val="20"/>
                <w:lang w:val="it-IT"/>
              </w:rPr>
              <w:t>-30</w:t>
            </w:r>
          </w:p>
        </w:tc>
        <w:tc>
          <w:tcPr>
            <w:tcW w:w="1710" w:type="dxa"/>
            <w:shd w:val="clear" w:color="auto" w:fill="auto"/>
          </w:tcPr>
          <w:p w14:paraId="1CCD5861" w14:textId="435889E4"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0"/>
                <w:szCs w:val="20"/>
                <w:lang w:val="it-IT"/>
              </w:rPr>
            </w:pPr>
            <w:r w:rsidRPr="00A6555A">
              <w:rPr>
                <w:rFonts w:ascii="Times New Roman" w:hAnsi="Times New Roman" w:cs="Times New Roman"/>
                <w:b w:val="0"/>
                <w:sz w:val="20"/>
                <w:szCs w:val="20"/>
                <w:lang w:val="it-IT"/>
              </w:rPr>
              <w:t>-60</w:t>
            </w:r>
          </w:p>
        </w:tc>
        <w:tc>
          <w:tcPr>
            <w:tcW w:w="1710" w:type="dxa"/>
            <w:shd w:val="clear" w:color="auto" w:fill="auto"/>
          </w:tcPr>
          <w:p w14:paraId="31A6DFC1" w14:textId="5E709448" w:rsidR="000A7AF0" w:rsidRPr="00A6555A" w:rsidRDefault="000A7AF0" w:rsidP="00A6555A">
            <w:pPr>
              <w:pStyle w:val="TITLE2"/>
              <w:tabs>
                <w:tab w:val="clear" w:pos="9498"/>
                <w:tab w:val="left" w:pos="2820"/>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 w:val="20"/>
                <w:szCs w:val="20"/>
                <w:lang w:val="it-IT"/>
              </w:rPr>
            </w:pPr>
            <w:r>
              <w:rPr>
                <w:rFonts w:ascii="Times New Roman" w:hAnsi="Times New Roman" w:cs="Times New Roman"/>
                <w:b w:val="0"/>
                <w:sz w:val="20"/>
                <w:szCs w:val="20"/>
                <w:lang w:val="it-IT"/>
              </w:rPr>
              <w:t>-26</w:t>
            </w:r>
          </w:p>
        </w:tc>
      </w:tr>
      <w:tr w:rsidR="000A7AF0" w:rsidRPr="00A6555A" w14:paraId="1CE8EB0C" w14:textId="69E2C2A8" w:rsidTr="005A0889">
        <w:trPr>
          <w:trHeight w:val="185"/>
        </w:trPr>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4DB44F16" w14:textId="77777777" w:rsidR="000A7AF0" w:rsidRPr="002C7C96" w:rsidRDefault="000A7AF0" w:rsidP="00A6555A">
            <w:pPr>
              <w:pStyle w:val="TITLE2"/>
              <w:tabs>
                <w:tab w:val="clear" w:pos="9498"/>
                <w:tab w:val="left" w:pos="2820"/>
              </w:tabs>
              <w:spacing w:before="0" w:after="0" w:line="240" w:lineRule="auto"/>
              <w:jc w:val="center"/>
              <w:rPr>
                <w:rFonts w:ascii="Times New Roman" w:hAnsi="Times New Roman" w:cs="Times New Roman"/>
                <w:sz w:val="20"/>
                <w:szCs w:val="20"/>
                <w:lang w:val="it-IT"/>
              </w:rPr>
            </w:pPr>
            <w:r w:rsidRPr="002C7C96">
              <w:rPr>
                <w:rFonts w:ascii="Times New Roman" w:hAnsi="Times New Roman" w:cs="Times New Roman"/>
                <w:sz w:val="20"/>
                <w:szCs w:val="20"/>
                <w:lang w:val="it-IT"/>
              </w:rPr>
              <w:t>Ir-LSM70</w:t>
            </w:r>
          </w:p>
        </w:tc>
        <w:tc>
          <w:tcPr>
            <w:tcW w:w="1350" w:type="dxa"/>
            <w:shd w:val="clear" w:color="auto" w:fill="auto"/>
          </w:tcPr>
          <w:p w14:paraId="194AEB44" w14:textId="3D5389A2"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lang w:val="it-IT"/>
              </w:rPr>
            </w:pPr>
            <w:r w:rsidRPr="00A6555A">
              <w:rPr>
                <w:rFonts w:ascii="Times New Roman" w:hAnsi="Times New Roman" w:cs="Times New Roman"/>
                <w:b w:val="0"/>
                <w:color w:val="auto"/>
                <w:sz w:val="20"/>
                <w:szCs w:val="20"/>
                <w:lang w:val="it-IT"/>
              </w:rPr>
              <w:t>279</w:t>
            </w:r>
          </w:p>
        </w:tc>
        <w:tc>
          <w:tcPr>
            <w:tcW w:w="1350" w:type="dxa"/>
            <w:shd w:val="clear" w:color="auto" w:fill="auto"/>
          </w:tcPr>
          <w:p w14:paraId="2CEDF1A4" w14:textId="00998C21"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lang w:val="it-IT"/>
              </w:rPr>
            </w:pPr>
            <w:r w:rsidRPr="00A6555A">
              <w:rPr>
                <w:rFonts w:ascii="Times New Roman" w:hAnsi="Times New Roman" w:cs="Times New Roman"/>
                <w:b w:val="0"/>
                <w:color w:val="auto"/>
                <w:sz w:val="20"/>
                <w:szCs w:val="20"/>
                <w:lang w:val="it-IT"/>
              </w:rPr>
              <w:t>299</w:t>
            </w:r>
          </w:p>
        </w:tc>
        <w:tc>
          <w:tcPr>
            <w:tcW w:w="2700" w:type="dxa"/>
            <w:shd w:val="clear" w:color="auto" w:fill="auto"/>
          </w:tcPr>
          <w:p w14:paraId="54E5CD80" w14:textId="0B4D943D"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it-IT"/>
              </w:rPr>
            </w:pPr>
            <w:r w:rsidRPr="00A6555A">
              <w:rPr>
                <w:rFonts w:ascii="Times New Roman" w:hAnsi="Times New Roman" w:cs="Times New Roman"/>
                <w:b w:val="0"/>
                <w:sz w:val="20"/>
                <w:szCs w:val="20"/>
                <w:lang w:val="it-IT"/>
              </w:rPr>
              <w:t>-20</w:t>
            </w:r>
          </w:p>
        </w:tc>
        <w:tc>
          <w:tcPr>
            <w:tcW w:w="1710" w:type="dxa"/>
            <w:shd w:val="clear" w:color="auto" w:fill="auto"/>
          </w:tcPr>
          <w:p w14:paraId="5FFE8CF1" w14:textId="36AEBEBA"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it-IT"/>
              </w:rPr>
            </w:pPr>
            <w:r w:rsidRPr="00A6555A">
              <w:rPr>
                <w:rFonts w:ascii="Times New Roman" w:hAnsi="Times New Roman" w:cs="Times New Roman"/>
                <w:b w:val="0"/>
                <w:sz w:val="20"/>
                <w:szCs w:val="20"/>
                <w:lang w:val="it-IT"/>
              </w:rPr>
              <w:t>-58</w:t>
            </w:r>
          </w:p>
        </w:tc>
        <w:tc>
          <w:tcPr>
            <w:tcW w:w="1710" w:type="dxa"/>
            <w:shd w:val="clear" w:color="auto" w:fill="auto"/>
          </w:tcPr>
          <w:p w14:paraId="3B52952D" w14:textId="1FF57F3A" w:rsidR="000A7AF0" w:rsidRPr="00A6555A" w:rsidRDefault="000A7AF0" w:rsidP="00A6555A">
            <w:pPr>
              <w:pStyle w:val="TITLE2"/>
              <w:tabs>
                <w:tab w:val="clear" w:pos="9498"/>
                <w:tab w:val="left" w:pos="2820"/>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it-IT"/>
              </w:rPr>
            </w:pPr>
            <w:r>
              <w:rPr>
                <w:rFonts w:ascii="Times New Roman" w:hAnsi="Times New Roman" w:cs="Times New Roman"/>
                <w:b w:val="0"/>
                <w:sz w:val="20"/>
                <w:szCs w:val="20"/>
                <w:lang w:val="it-IT"/>
              </w:rPr>
              <w:t>-63</w:t>
            </w:r>
          </w:p>
        </w:tc>
      </w:tr>
    </w:tbl>
    <w:p w14:paraId="565AB2AE" w14:textId="77777777" w:rsidR="009E1846" w:rsidRDefault="009E1846" w:rsidP="000C02E0">
      <w:pPr>
        <w:pStyle w:val="S09PARAGRAFISUCESSIVI"/>
        <w:spacing w:line="240" w:lineRule="auto"/>
        <w:ind w:firstLine="270"/>
        <w:rPr>
          <w:lang w:val="en-US"/>
        </w:rPr>
      </w:pPr>
    </w:p>
    <w:p w14:paraId="057DDF52" w14:textId="2C5CB9F0" w:rsidR="003C15A6" w:rsidRDefault="00B02C61" w:rsidP="000C02E0">
      <w:pPr>
        <w:pStyle w:val="S09PARAGRAFISUCESSIVI"/>
        <w:spacing w:line="240" w:lineRule="auto"/>
        <w:ind w:firstLine="270"/>
        <w:rPr>
          <w:lang w:val="en-US"/>
        </w:rPr>
      </w:pPr>
      <w:r>
        <w:rPr>
          <w:lang w:val="en-US"/>
        </w:rPr>
        <w:t xml:space="preserve">A clear clockwise </w:t>
      </w:r>
      <w:r w:rsidR="00B17B79">
        <w:rPr>
          <w:lang w:val="en-US"/>
        </w:rPr>
        <w:t>hysteresis (</w:t>
      </w:r>
      <w:r>
        <w:rPr>
          <w:lang w:val="en-US"/>
        </w:rPr>
        <w:t>limit cycle</w:t>
      </w:r>
      <w:r w:rsidR="00B17B79">
        <w:rPr>
          <w:lang w:val="en-US"/>
        </w:rPr>
        <w:t>)</w:t>
      </w:r>
      <w:r>
        <w:rPr>
          <w:lang w:val="en-US"/>
        </w:rPr>
        <w:t xml:space="preserve"> performance was recorded for all </w:t>
      </w:r>
      <w:proofErr w:type="spellStart"/>
      <w:r>
        <w:rPr>
          <w:lang w:val="en-US"/>
        </w:rPr>
        <w:t>Ir</w:t>
      </w:r>
      <w:proofErr w:type="spellEnd"/>
      <w:r>
        <w:rPr>
          <w:lang w:val="en-US"/>
        </w:rPr>
        <w:t>/LSM catalysts upon moving f</w:t>
      </w:r>
      <w:r w:rsidR="00217636">
        <w:rPr>
          <w:lang w:val="en-US"/>
        </w:rPr>
        <w:t>rom</w:t>
      </w:r>
      <w:r>
        <w:rPr>
          <w:lang w:val="en-US"/>
        </w:rPr>
        <w:t xml:space="preserve"> low to higher temperatures </w:t>
      </w:r>
      <w:r w:rsidR="00B17B79">
        <w:rPr>
          <w:lang w:val="en-US"/>
        </w:rPr>
        <w:t>(</w:t>
      </w:r>
      <w:r w:rsidR="00B17B79" w:rsidRPr="00B17B79">
        <w:rPr>
          <w:i/>
          <w:lang w:val="en-US"/>
        </w:rPr>
        <w:t>light-off</w:t>
      </w:r>
      <w:r w:rsidR="00B17B79">
        <w:rPr>
          <w:lang w:val="en-US"/>
        </w:rPr>
        <w:t xml:space="preserve"> path) </w:t>
      </w:r>
      <w:r>
        <w:rPr>
          <w:lang w:val="en-US"/>
        </w:rPr>
        <w:t>and then returns back</w:t>
      </w:r>
      <w:r w:rsidR="00B17B79">
        <w:rPr>
          <w:lang w:val="en-US"/>
        </w:rPr>
        <w:t xml:space="preserve"> (</w:t>
      </w:r>
      <w:r w:rsidR="00B17B79" w:rsidRPr="00B17B79">
        <w:rPr>
          <w:i/>
          <w:lang w:val="en-US"/>
        </w:rPr>
        <w:t>light-out</w:t>
      </w:r>
      <w:r w:rsidR="00B17B79">
        <w:rPr>
          <w:lang w:val="en-US"/>
        </w:rPr>
        <w:t xml:space="preserve"> path) (Fig. 3)</w:t>
      </w:r>
      <w:r>
        <w:rPr>
          <w:lang w:val="en-US"/>
        </w:rPr>
        <w:t>. This behavior</w:t>
      </w:r>
      <w:r w:rsidR="0097029F">
        <w:rPr>
          <w:lang w:val="en-US"/>
        </w:rPr>
        <w:t xml:space="preserve">, well known in heterogeneous catalysis as hysteresis or limit cycle behavior </w:t>
      </w:r>
      <w:r w:rsidR="0097029F" w:rsidRPr="00EC4094">
        <w:rPr>
          <w:lang w:val="en-US"/>
        </w:rPr>
        <w:t xml:space="preserve">(Al </w:t>
      </w:r>
      <w:proofErr w:type="spellStart"/>
      <w:r w:rsidR="0097029F" w:rsidRPr="00EC4094">
        <w:rPr>
          <w:lang w:val="en-US"/>
        </w:rPr>
        <w:t>Soubaihi</w:t>
      </w:r>
      <w:proofErr w:type="spellEnd"/>
      <w:r w:rsidR="0097029F" w:rsidRPr="00EC4094">
        <w:rPr>
          <w:lang w:val="en-US"/>
        </w:rPr>
        <w:t xml:space="preserve"> eta al., 2018) </w:t>
      </w:r>
      <w:r w:rsidRPr="00EC4094">
        <w:rPr>
          <w:lang w:val="en-US"/>
        </w:rPr>
        <w:t xml:space="preserve">was less apparent on LSM perovskite supports </w:t>
      </w:r>
      <w:r w:rsidR="00B17B79" w:rsidRPr="00EC4094">
        <w:rPr>
          <w:lang w:val="en-US"/>
        </w:rPr>
        <w:t xml:space="preserve">(data not shown) </w:t>
      </w:r>
      <w:r w:rsidRPr="00EC4094">
        <w:rPr>
          <w:lang w:val="en-US"/>
        </w:rPr>
        <w:t xml:space="preserve">indicating that this phenomenon is mainly related with the </w:t>
      </w:r>
      <w:proofErr w:type="spellStart"/>
      <w:r w:rsidRPr="00EC4094">
        <w:rPr>
          <w:lang w:val="en-US"/>
        </w:rPr>
        <w:t>Ir</w:t>
      </w:r>
      <w:proofErr w:type="spellEnd"/>
      <w:r w:rsidRPr="00EC4094">
        <w:rPr>
          <w:lang w:val="en-US"/>
        </w:rPr>
        <w:t xml:space="preserve"> active phase. </w:t>
      </w:r>
      <w:r w:rsidR="00D72635" w:rsidRPr="00EC4094">
        <w:rPr>
          <w:lang w:val="en-US"/>
        </w:rPr>
        <w:t xml:space="preserve">As can be seen </w:t>
      </w:r>
      <w:r w:rsidR="00B17B79" w:rsidRPr="00EC4094">
        <w:rPr>
          <w:lang w:val="en-US"/>
        </w:rPr>
        <w:t>in Fig. 3</w:t>
      </w:r>
      <w:r w:rsidR="00217636">
        <w:rPr>
          <w:lang w:val="en-US"/>
        </w:rPr>
        <w:t>,</w:t>
      </w:r>
      <w:r w:rsidR="00B17B79" w:rsidRPr="00EC4094">
        <w:rPr>
          <w:lang w:val="en-US"/>
        </w:rPr>
        <w:t xml:space="preserve"> </w:t>
      </w:r>
      <w:r w:rsidR="00D72635" w:rsidRPr="00EC4094">
        <w:rPr>
          <w:lang w:val="en-US"/>
        </w:rPr>
        <w:t xml:space="preserve">the </w:t>
      </w:r>
      <w:r w:rsidR="00B17B79" w:rsidRPr="00EC4094">
        <w:rPr>
          <w:lang w:val="en-US"/>
        </w:rPr>
        <w:t xml:space="preserve">light-off </w:t>
      </w:r>
      <w:r w:rsidR="00D72635" w:rsidRPr="00EC4094">
        <w:rPr>
          <w:lang w:val="en-US"/>
        </w:rPr>
        <w:t xml:space="preserve">path of the limit cycle approaches the independently taken light-off profile of the pre-reduced catalyst, </w:t>
      </w:r>
      <w:r w:rsidR="00B17B79" w:rsidRPr="00EC4094">
        <w:rPr>
          <w:lang w:val="en-US"/>
        </w:rPr>
        <w:t xml:space="preserve">while </w:t>
      </w:r>
      <w:r w:rsidR="00D72635" w:rsidRPr="00EC4094">
        <w:rPr>
          <w:lang w:val="en-US"/>
        </w:rPr>
        <w:t xml:space="preserve">the </w:t>
      </w:r>
      <w:r w:rsidR="00B17B79" w:rsidRPr="00EC4094">
        <w:rPr>
          <w:i/>
          <w:lang w:val="en-US"/>
        </w:rPr>
        <w:t>light-out</w:t>
      </w:r>
      <w:r w:rsidR="00D72635" w:rsidRPr="00EC4094">
        <w:rPr>
          <w:lang w:val="en-US"/>
        </w:rPr>
        <w:t xml:space="preserve"> path approaches </w:t>
      </w:r>
      <w:r w:rsidR="00B17B79" w:rsidRPr="00EC4094">
        <w:rPr>
          <w:lang w:val="en-US"/>
        </w:rPr>
        <w:t xml:space="preserve">the independently </w:t>
      </w:r>
      <w:r w:rsidR="000C02E0" w:rsidRPr="00EC4094">
        <w:rPr>
          <w:lang w:val="en-US"/>
        </w:rPr>
        <w:t>acquired light</w:t>
      </w:r>
      <w:r w:rsidR="00B17B79" w:rsidRPr="00EC4094">
        <w:rPr>
          <w:lang w:val="en-US"/>
        </w:rPr>
        <w:t>-off profile</w:t>
      </w:r>
      <w:r w:rsidR="00D72635" w:rsidRPr="00EC4094">
        <w:rPr>
          <w:lang w:val="en-US"/>
        </w:rPr>
        <w:t xml:space="preserve"> of pre-oxidized catalyst</w:t>
      </w:r>
      <w:r w:rsidR="00B17B79" w:rsidRPr="00EC4094">
        <w:rPr>
          <w:lang w:val="en-US"/>
        </w:rPr>
        <w:t>s (Fig. 2)</w:t>
      </w:r>
      <w:r w:rsidR="00D72635" w:rsidRPr="00EC4094">
        <w:rPr>
          <w:lang w:val="en-US"/>
        </w:rPr>
        <w:t xml:space="preserve">. This corroborates that the limit cycle behavior is most probably related with the Iridium oxidation state of the catalyst; starting the light-off pathway </w:t>
      </w:r>
      <w:r w:rsidR="00B17B79" w:rsidRPr="00EC4094">
        <w:rPr>
          <w:lang w:val="en-US"/>
        </w:rPr>
        <w:t>with</w:t>
      </w:r>
      <w:r w:rsidR="00D72635" w:rsidRPr="00EC4094">
        <w:rPr>
          <w:lang w:val="en-US"/>
        </w:rPr>
        <w:t xml:space="preserve"> a pre-reduced catalyst the metallic phase of Ir</w:t>
      </w:r>
      <w:r w:rsidR="00D72635" w:rsidRPr="00EC4094">
        <w:rPr>
          <w:vertAlign w:val="superscript"/>
          <w:lang w:val="en-US"/>
        </w:rPr>
        <w:t>0</w:t>
      </w:r>
      <w:r w:rsidR="00D72635" w:rsidRPr="00EC4094">
        <w:rPr>
          <w:lang w:val="en-US"/>
        </w:rPr>
        <w:t xml:space="preserve"> </w:t>
      </w:r>
      <w:r w:rsidR="00B17B79" w:rsidRPr="00EC4094">
        <w:rPr>
          <w:lang w:val="en-US"/>
        </w:rPr>
        <w:t xml:space="preserve">(most active in CO oxidation) </w:t>
      </w:r>
      <w:r w:rsidR="00D72635" w:rsidRPr="00EC4094">
        <w:rPr>
          <w:lang w:val="en-US"/>
        </w:rPr>
        <w:t xml:space="preserve">leads to high </w:t>
      </w:r>
      <w:r w:rsidR="00B17B79" w:rsidRPr="00EC4094">
        <w:rPr>
          <w:lang w:val="en-US"/>
        </w:rPr>
        <w:t>C</w:t>
      </w:r>
      <w:r w:rsidR="00C96DA9">
        <w:rPr>
          <w:lang w:val="en-US"/>
        </w:rPr>
        <w:t>O</w:t>
      </w:r>
      <w:r w:rsidR="00B17B79" w:rsidRPr="00EC4094">
        <w:rPr>
          <w:lang w:val="en-US"/>
        </w:rPr>
        <w:t xml:space="preserve"> conversion performance. H</w:t>
      </w:r>
      <w:r w:rsidR="00D72635" w:rsidRPr="00EC4094">
        <w:rPr>
          <w:lang w:val="en-US"/>
        </w:rPr>
        <w:t>owever</w:t>
      </w:r>
      <w:r w:rsidR="00B17B79" w:rsidRPr="00EC4094">
        <w:rPr>
          <w:lang w:val="en-US"/>
        </w:rPr>
        <w:t>, when</w:t>
      </w:r>
      <w:r w:rsidR="00D72635" w:rsidRPr="00EC4094">
        <w:rPr>
          <w:lang w:val="en-US"/>
        </w:rPr>
        <w:t xml:space="preserve"> approaching 100% CO conversion at </w:t>
      </w:r>
      <w:r w:rsidR="00B17B79" w:rsidRPr="00EC4094">
        <w:rPr>
          <w:lang w:val="en-US"/>
        </w:rPr>
        <w:t>elevated</w:t>
      </w:r>
      <w:r w:rsidR="00D72635" w:rsidRPr="00EC4094">
        <w:rPr>
          <w:lang w:val="en-US"/>
        </w:rPr>
        <w:t xml:space="preserve"> temperatures the catalyst is faced </w:t>
      </w:r>
      <w:r w:rsidR="00C96DA9">
        <w:rPr>
          <w:lang w:val="en-US"/>
        </w:rPr>
        <w:t>with</w:t>
      </w:r>
      <w:r w:rsidR="00D72635" w:rsidRPr="00EC4094">
        <w:rPr>
          <w:lang w:val="en-US"/>
        </w:rPr>
        <w:t xml:space="preserve"> net oxidizing conditions due to the </w:t>
      </w:r>
      <w:r w:rsidR="00B17B79" w:rsidRPr="00EC4094">
        <w:rPr>
          <w:lang w:val="en-US"/>
        </w:rPr>
        <w:t xml:space="preserve">remaining </w:t>
      </w:r>
      <w:r w:rsidR="00D72635" w:rsidRPr="00EC4094">
        <w:rPr>
          <w:lang w:val="en-US"/>
        </w:rPr>
        <w:t xml:space="preserve">excess oxygen which causes </w:t>
      </w:r>
      <w:r w:rsidR="00B1776B">
        <w:rPr>
          <w:lang w:val="en-US"/>
        </w:rPr>
        <w:t xml:space="preserve">the </w:t>
      </w:r>
      <w:r w:rsidR="00B17B79" w:rsidRPr="00EC4094">
        <w:rPr>
          <w:lang w:val="en-US"/>
        </w:rPr>
        <w:t xml:space="preserve">oxidation of </w:t>
      </w:r>
      <w:r w:rsidR="00D72635" w:rsidRPr="00EC4094">
        <w:rPr>
          <w:lang w:val="en-US"/>
        </w:rPr>
        <w:t xml:space="preserve">iridium particles. Thus returning back to low temperatures </w:t>
      </w:r>
      <w:r w:rsidR="00B17B79" w:rsidRPr="00EC4094">
        <w:rPr>
          <w:lang w:val="en-US"/>
        </w:rPr>
        <w:t xml:space="preserve">(light-out pathway) </w:t>
      </w:r>
      <w:r w:rsidR="00D72635" w:rsidRPr="00EC4094">
        <w:rPr>
          <w:lang w:val="en-US"/>
        </w:rPr>
        <w:t xml:space="preserve">the catalyst approaches the </w:t>
      </w:r>
      <w:r w:rsidR="001C11E5" w:rsidRPr="00EC4094">
        <w:rPr>
          <w:lang w:val="en-US"/>
        </w:rPr>
        <w:t xml:space="preserve">lower </w:t>
      </w:r>
      <w:r w:rsidR="00D72635" w:rsidRPr="00EC4094">
        <w:rPr>
          <w:lang w:val="en-US"/>
        </w:rPr>
        <w:t xml:space="preserve">catalytic </w:t>
      </w:r>
      <w:r w:rsidR="001C11E5" w:rsidRPr="00EC4094">
        <w:rPr>
          <w:lang w:val="en-US"/>
        </w:rPr>
        <w:t>efficiency of IrO</w:t>
      </w:r>
      <w:r w:rsidR="001C11E5" w:rsidRPr="00EC4094">
        <w:rPr>
          <w:vertAlign w:val="subscript"/>
          <w:lang w:val="en-US"/>
        </w:rPr>
        <w:t>2</w:t>
      </w:r>
      <w:r w:rsidR="00B17B79" w:rsidRPr="00EC4094">
        <w:rPr>
          <w:lang w:val="en-US"/>
        </w:rPr>
        <w:t xml:space="preserve"> (i.e.</w:t>
      </w:r>
      <w:r w:rsidR="00B1776B">
        <w:rPr>
          <w:lang w:val="en-US"/>
        </w:rPr>
        <w:t>,</w:t>
      </w:r>
      <w:r w:rsidR="00B17B79" w:rsidRPr="00EC4094">
        <w:rPr>
          <w:lang w:val="en-US"/>
        </w:rPr>
        <w:t xml:space="preserve"> </w:t>
      </w:r>
      <w:r w:rsidR="00C40C7B" w:rsidRPr="00EC4094">
        <w:rPr>
          <w:lang w:val="en-US"/>
        </w:rPr>
        <w:t>that of the pre-oxidized catalyst)</w:t>
      </w:r>
      <w:r w:rsidR="001C11E5" w:rsidRPr="00EC4094">
        <w:rPr>
          <w:lang w:val="en-US"/>
        </w:rPr>
        <w:t xml:space="preserve">. Such limit cycles related to the oxidation state of the catalyst often leads to rate oscillations </w:t>
      </w:r>
      <w:r w:rsidR="001C11E5" w:rsidRPr="00EC4094">
        <w:rPr>
          <w:lang w:val="en-US"/>
        </w:rPr>
        <w:lastRenderedPageBreak/>
        <w:t xml:space="preserve">(Yentekakis </w:t>
      </w:r>
      <w:r w:rsidR="00965A16" w:rsidRPr="00EC4094">
        <w:rPr>
          <w:lang w:val="en-US"/>
        </w:rPr>
        <w:t>et al., 1988</w:t>
      </w:r>
      <w:r w:rsidR="003C15A6" w:rsidRPr="00EC4094">
        <w:rPr>
          <w:lang w:val="en-US"/>
        </w:rPr>
        <w:t xml:space="preserve">; </w:t>
      </w:r>
      <w:proofErr w:type="spellStart"/>
      <w:r w:rsidR="003C15A6" w:rsidRPr="00EC4094">
        <w:rPr>
          <w:lang w:val="en-US"/>
        </w:rPr>
        <w:t>Yentekakis</w:t>
      </w:r>
      <w:proofErr w:type="spellEnd"/>
      <w:r w:rsidR="003C15A6" w:rsidRPr="00EC4094">
        <w:rPr>
          <w:lang w:val="en-US"/>
        </w:rPr>
        <w:t xml:space="preserve"> and </w:t>
      </w:r>
      <w:proofErr w:type="spellStart"/>
      <w:r w:rsidR="003C15A6" w:rsidRPr="00EC4094">
        <w:rPr>
          <w:lang w:val="en-US"/>
        </w:rPr>
        <w:t>Vayenas</w:t>
      </w:r>
      <w:proofErr w:type="spellEnd"/>
      <w:r w:rsidR="003C15A6" w:rsidRPr="00EC4094">
        <w:rPr>
          <w:lang w:val="en-US"/>
        </w:rPr>
        <w:t>, 1988</w:t>
      </w:r>
      <w:r w:rsidR="00965A16" w:rsidRPr="00EC4094">
        <w:rPr>
          <w:lang w:val="en-US"/>
        </w:rPr>
        <w:t>)</w:t>
      </w:r>
      <w:r w:rsidR="001C11E5" w:rsidRPr="00EC4094">
        <w:rPr>
          <w:lang w:val="en-US"/>
        </w:rPr>
        <w:t xml:space="preserve">. The </w:t>
      </w:r>
      <w:r w:rsidR="006F70C3">
        <w:rPr>
          <w:lang w:val="en-US"/>
        </w:rPr>
        <w:t>GC</w:t>
      </w:r>
      <w:r w:rsidR="001C11E5" w:rsidRPr="00EC4094">
        <w:rPr>
          <w:lang w:val="en-US"/>
        </w:rPr>
        <w:t xml:space="preserve"> instrumentation</w:t>
      </w:r>
      <w:r w:rsidR="00C40C7B" w:rsidRPr="00EC4094">
        <w:rPr>
          <w:lang w:val="en-US"/>
        </w:rPr>
        <w:t xml:space="preserve"> </w:t>
      </w:r>
      <w:r w:rsidR="0036129C" w:rsidRPr="00EC4094">
        <w:rPr>
          <w:lang w:val="en-US"/>
        </w:rPr>
        <w:t>available</w:t>
      </w:r>
      <w:r w:rsidR="001C11E5" w:rsidRPr="00EC4094">
        <w:rPr>
          <w:lang w:val="en-US"/>
        </w:rPr>
        <w:t xml:space="preserve"> </w:t>
      </w:r>
      <w:r w:rsidR="00C40C7B" w:rsidRPr="00EC4094">
        <w:rPr>
          <w:lang w:val="en-US"/>
        </w:rPr>
        <w:t>in</w:t>
      </w:r>
      <w:r w:rsidR="001C11E5" w:rsidRPr="00EC4094">
        <w:rPr>
          <w:lang w:val="en-US"/>
        </w:rPr>
        <w:t xml:space="preserve"> our apparatus did not </w:t>
      </w:r>
      <w:r w:rsidR="00C40C7B" w:rsidRPr="00EC4094">
        <w:rPr>
          <w:lang w:val="en-US"/>
        </w:rPr>
        <w:t>allow</w:t>
      </w:r>
      <w:r w:rsidR="001C11E5" w:rsidRPr="00EC4094">
        <w:rPr>
          <w:lang w:val="en-US"/>
        </w:rPr>
        <w:t xml:space="preserve"> us to record such a possible</w:t>
      </w:r>
      <w:r w:rsidR="001C11E5">
        <w:rPr>
          <w:lang w:val="en-US"/>
        </w:rPr>
        <w:t xml:space="preserve"> behavior. </w:t>
      </w:r>
      <w:r w:rsidR="00BF041E" w:rsidRPr="00BF041E">
        <w:rPr>
          <w:lang w:val="en-US"/>
        </w:rPr>
        <w:t xml:space="preserve">Work in this direction is in our </w:t>
      </w:r>
      <w:r w:rsidR="006F70C3">
        <w:rPr>
          <w:lang w:val="en-US"/>
        </w:rPr>
        <w:t>future</w:t>
      </w:r>
      <w:r w:rsidR="00BF041E" w:rsidRPr="00BF041E">
        <w:rPr>
          <w:lang w:val="en-US"/>
        </w:rPr>
        <w:t xml:space="preserve"> plans after upgrading </w:t>
      </w:r>
      <w:r w:rsidR="00BF041E">
        <w:rPr>
          <w:lang w:val="en-US"/>
        </w:rPr>
        <w:t>our</w:t>
      </w:r>
      <w:r w:rsidR="00BF041E" w:rsidRPr="00BF041E">
        <w:rPr>
          <w:lang w:val="en-US"/>
        </w:rPr>
        <w:t xml:space="preserve"> analysis system with a continuous CO analyzer.</w:t>
      </w:r>
      <w:r w:rsidR="00BF041E">
        <w:rPr>
          <w:lang w:val="en-US"/>
        </w:rPr>
        <w:t xml:space="preserve"> </w:t>
      </w:r>
      <w:r w:rsidR="00732899">
        <w:rPr>
          <w:lang w:val="en-US"/>
        </w:rPr>
        <w:t>Interestingly,</w:t>
      </w:r>
      <w:r w:rsidR="00A4089F" w:rsidRPr="00A4089F">
        <w:rPr>
          <w:lang w:val="en-US"/>
        </w:rPr>
        <w:t xml:space="preserve"> the </w:t>
      </w:r>
      <w:r w:rsidR="00A4089F">
        <w:rPr>
          <w:lang w:val="en-US"/>
        </w:rPr>
        <w:t>hysteresis</w:t>
      </w:r>
      <w:r w:rsidR="00A4089F" w:rsidRPr="00A4089F">
        <w:rPr>
          <w:lang w:val="en-US"/>
        </w:rPr>
        <w:t xml:space="preserve"> decrease</w:t>
      </w:r>
      <w:r w:rsidR="00217636">
        <w:rPr>
          <w:lang w:val="en-US"/>
        </w:rPr>
        <w:t>s</w:t>
      </w:r>
      <w:r w:rsidR="00A4089F" w:rsidRPr="00A4089F">
        <w:rPr>
          <w:lang w:val="en-US"/>
        </w:rPr>
        <w:t xml:space="preserve"> in </w:t>
      </w:r>
      <w:r w:rsidR="00732899">
        <w:rPr>
          <w:lang w:val="en-US"/>
        </w:rPr>
        <w:t>amplitude</w:t>
      </w:r>
      <w:r w:rsidR="00A4089F" w:rsidRPr="00A4089F">
        <w:rPr>
          <w:lang w:val="en-US"/>
        </w:rPr>
        <w:t xml:space="preserve"> as the percentage of </w:t>
      </w:r>
      <w:r w:rsidR="00A4089F">
        <w:rPr>
          <w:lang w:val="en-US"/>
        </w:rPr>
        <w:t xml:space="preserve">La </w:t>
      </w:r>
      <w:r w:rsidR="00A4089F" w:rsidRPr="00A4089F">
        <w:rPr>
          <w:lang w:val="en-US"/>
        </w:rPr>
        <w:t xml:space="preserve">replacement </w:t>
      </w:r>
      <w:r w:rsidR="00A4089F">
        <w:rPr>
          <w:lang w:val="en-US"/>
        </w:rPr>
        <w:t>by</w:t>
      </w:r>
      <w:r w:rsidR="00A4089F" w:rsidRPr="00A4089F">
        <w:rPr>
          <w:lang w:val="en-US"/>
        </w:rPr>
        <w:t xml:space="preserve"> Sr</w:t>
      </w:r>
      <w:r w:rsidR="00A4089F">
        <w:rPr>
          <w:lang w:val="en-US"/>
        </w:rPr>
        <w:t xml:space="preserve"> increases</w:t>
      </w:r>
      <w:r w:rsidR="00A4089F" w:rsidRPr="00A4089F">
        <w:rPr>
          <w:lang w:val="en-US"/>
        </w:rPr>
        <w:t>.</w:t>
      </w:r>
    </w:p>
    <w:p w14:paraId="2227BC54" w14:textId="79B03180" w:rsidR="003C15A6" w:rsidRPr="00A4089F" w:rsidRDefault="009E1846" w:rsidP="00BF041E">
      <w:pPr>
        <w:pStyle w:val="S09PARAGRAFISUCESSIVI"/>
        <w:spacing w:line="240" w:lineRule="auto"/>
        <w:ind w:firstLine="0"/>
        <w:jc w:val="center"/>
        <w:rPr>
          <w:b/>
          <w:lang w:val="el-GR"/>
        </w:rPr>
      </w:pPr>
      <w:r>
        <w:rPr>
          <w:b/>
          <w:noProof/>
          <w:lang w:val="en-US" w:eastAsia="en-US"/>
        </w:rPr>
        <w:drawing>
          <wp:inline distT="0" distB="0" distL="0" distR="0" wp14:anchorId="13CF7AA8" wp14:editId="2BF2F5EF">
            <wp:extent cx="2954740" cy="3858102"/>
            <wp:effectExtent l="0" t="0" r="0" b="9525"/>
            <wp:docPr id="4" name="Picture 4" descr="C:\Users\YENTEKAKIS\Pictures\FIG 3 Ir-LSM Limit cyc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ENTEKAKIS\Pictures\FIG 3 Ir-LSM Limit cyc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1138" cy="3866456"/>
                    </a:xfrm>
                    <a:prstGeom prst="rect">
                      <a:avLst/>
                    </a:prstGeom>
                    <a:noFill/>
                    <a:ln>
                      <a:noFill/>
                    </a:ln>
                  </pic:spPr>
                </pic:pic>
              </a:graphicData>
            </a:graphic>
          </wp:inline>
        </w:drawing>
      </w:r>
    </w:p>
    <w:p w14:paraId="099886A4" w14:textId="53FA0488" w:rsidR="003C15A6" w:rsidRDefault="0036129C" w:rsidP="003C15A6">
      <w:pPr>
        <w:pStyle w:val="S09PARAGRAFISUCESSIVI"/>
        <w:spacing w:line="240" w:lineRule="auto"/>
        <w:ind w:firstLine="0"/>
        <w:rPr>
          <w:lang w:val="en-US"/>
        </w:rPr>
      </w:pPr>
      <w:r>
        <w:rPr>
          <w:b/>
          <w:lang w:val="en-US"/>
        </w:rPr>
        <w:t>F</w:t>
      </w:r>
      <w:r w:rsidR="003C15A6" w:rsidRPr="003C15A6">
        <w:rPr>
          <w:b/>
          <w:lang w:val="en-US"/>
        </w:rPr>
        <w:t>igure 3.</w:t>
      </w:r>
      <w:r w:rsidR="003C15A6">
        <w:rPr>
          <w:lang w:val="en-US"/>
        </w:rPr>
        <w:t xml:space="preserve"> </w:t>
      </w:r>
      <w:r w:rsidR="000C02E0" w:rsidRPr="000C02E0">
        <w:rPr>
          <w:lang w:val="en-US"/>
        </w:rPr>
        <w:t xml:space="preserve">CO conversion </w:t>
      </w:r>
      <w:r w:rsidR="00BF041E" w:rsidRPr="00BF041E">
        <w:rPr>
          <w:i/>
          <w:lang w:val="en-US"/>
        </w:rPr>
        <w:t>light-off</w:t>
      </w:r>
      <w:r w:rsidR="00BF041E">
        <w:rPr>
          <w:lang w:val="en-US"/>
        </w:rPr>
        <w:t xml:space="preserve"> and </w:t>
      </w:r>
      <w:r w:rsidR="00BF041E" w:rsidRPr="00BF041E">
        <w:rPr>
          <w:i/>
          <w:lang w:val="en-US"/>
        </w:rPr>
        <w:t>light-</w:t>
      </w:r>
      <w:r w:rsidR="000C02E0" w:rsidRPr="00BF041E">
        <w:rPr>
          <w:i/>
          <w:lang w:val="en-US"/>
        </w:rPr>
        <w:t>out</w:t>
      </w:r>
      <w:r w:rsidR="000C02E0" w:rsidRPr="000C02E0">
        <w:rPr>
          <w:lang w:val="en-US"/>
        </w:rPr>
        <w:t xml:space="preserve"> </w:t>
      </w:r>
      <w:r w:rsidR="00BF041E">
        <w:rPr>
          <w:lang w:val="en-US"/>
        </w:rPr>
        <w:t xml:space="preserve">profiles </w:t>
      </w:r>
      <w:r w:rsidR="000C02E0" w:rsidRPr="000C02E0">
        <w:rPr>
          <w:lang w:val="en-US"/>
        </w:rPr>
        <w:t xml:space="preserve">over pre-reduced </w:t>
      </w:r>
      <w:proofErr w:type="spellStart"/>
      <w:r w:rsidR="000C02E0" w:rsidRPr="000C02E0">
        <w:rPr>
          <w:lang w:val="en-US"/>
        </w:rPr>
        <w:t>Ir</w:t>
      </w:r>
      <w:proofErr w:type="spellEnd"/>
      <w:r w:rsidR="000C02E0" w:rsidRPr="000C02E0">
        <w:rPr>
          <w:lang w:val="en-US"/>
        </w:rPr>
        <w:t xml:space="preserve">-LSM catalysts. </w:t>
      </w:r>
      <w:r w:rsidR="00BF041E">
        <w:rPr>
          <w:lang w:val="en-US"/>
        </w:rPr>
        <w:t>Narrows show the direction of data acquisition. Experimental c</w:t>
      </w:r>
      <w:r w:rsidR="000C02E0" w:rsidRPr="000C02E0">
        <w:rPr>
          <w:lang w:val="en-US"/>
        </w:rPr>
        <w:t>onditions: 1.0% CO, 5.0% O</w:t>
      </w:r>
      <w:r w:rsidR="000C02E0" w:rsidRPr="00BF041E">
        <w:rPr>
          <w:vertAlign w:val="subscript"/>
          <w:lang w:val="en-US"/>
        </w:rPr>
        <w:t>2</w:t>
      </w:r>
      <w:r w:rsidR="00B1776B">
        <w:rPr>
          <w:lang w:val="en-US"/>
        </w:rPr>
        <w:t>,</w:t>
      </w:r>
      <w:r w:rsidR="000C02E0" w:rsidRPr="000C02E0">
        <w:rPr>
          <w:lang w:val="en-US"/>
        </w:rPr>
        <w:t xml:space="preserve"> He</w:t>
      </w:r>
      <w:r w:rsidR="00BF041E">
        <w:rPr>
          <w:lang w:val="en-US"/>
        </w:rPr>
        <w:t xml:space="preserve"> </w:t>
      </w:r>
      <w:r w:rsidR="00B1776B">
        <w:rPr>
          <w:lang w:val="en-US"/>
        </w:rPr>
        <w:t xml:space="preserve">balance </w:t>
      </w:r>
      <w:r w:rsidR="00BF041E">
        <w:rPr>
          <w:lang w:val="en-US"/>
        </w:rPr>
        <w:t xml:space="preserve">at 1 bar; </w:t>
      </w:r>
      <w:r w:rsidR="00BF041E" w:rsidRPr="00BF041E">
        <w:rPr>
          <w:lang w:val="en-US"/>
        </w:rPr>
        <w:t>F</w:t>
      </w:r>
      <w:r w:rsidR="00BF041E" w:rsidRPr="00BF041E">
        <w:rPr>
          <w:vertAlign w:val="subscript"/>
          <w:lang w:val="en-US"/>
        </w:rPr>
        <w:t>T</w:t>
      </w:r>
      <w:r w:rsidR="00BF041E" w:rsidRPr="00BF041E">
        <w:rPr>
          <w:lang w:val="en-US"/>
        </w:rPr>
        <w:t xml:space="preserve"> =160 mL/min, </w:t>
      </w:r>
      <w:r w:rsidR="00BF041E">
        <w:rPr>
          <w:lang w:val="en-US"/>
        </w:rPr>
        <w:t>catalyst mass m</w:t>
      </w:r>
      <w:r w:rsidR="00BF041E" w:rsidRPr="00BF041E">
        <w:rPr>
          <w:lang w:val="en-US"/>
        </w:rPr>
        <w:t xml:space="preserve">=20 mg, </w:t>
      </w:r>
      <w:proofErr w:type="spellStart"/>
      <w:r w:rsidR="00BF041E" w:rsidRPr="00BF041E">
        <w:rPr>
          <w:lang w:val="en-US"/>
        </w:rPr>
        <w:t>wGHSV</w:t>
      </w:r>
      <w:proofErr w:type="spellEnd"/>
      <w:r w:rsidR="00BF041E" w:rsidRPr="00BF041E">
        <w:rPr>
          <w:lang w:val="en-US"/>
        </w:rPr>
        <w:t>=480 000 mL/</w:t>
      </w:r>
      <w:proofErr w:type="spellStart"/>
      <w:r w:rsidR="00BF041E" w:rsidRPr="00BF041E">
        <w:rPr>
          <w:lang w:val="en-US"/>
        </w:rPr>
        <w:t>g</w:t>
      </w:r>
      <w:r w:rsidR="00BF041E">
        <w:rPr>
          <w:rFonts w:cs="Times"/>
          <w:lang w:val="en-US"/>
        </w:rPr>
        <w:t>∙</w:t>
      </w:r>
      <w:r w:rsidR="00BF041E">
        <w:rPr>
          <w:lang w:val="en-US"/>
        </w:rPr>
        <w:t>h</w:t>
      </w:r>
      <w:proofErr w:type="spellEnd"/>
      <w:r w:rsidR="00BF041E">
        <w:rPr>
          <w:lang w:val="en-US"/>
        </w:rPr>
        <w:t>.</w:t>
      </w:r>
      <w:r w:rsidR="00BF041E" w:rsidRPr="00BF041E">
        <w:rPr>
          <w:lang w:val="en-US"/>
        </w:rPr>
        <w:t xml:space="preserve"> </w:t>
      </w:r>
    </w:p>
    <w:p w14:paraId="7A664364" w14:textId="77777777" w:rsidR="002D3AFE" w:rsidRPr="002D3AFE" w:rsidRDefault="002D3AFE" w:rsidP="002D3AFE">
      <w:pPr>
        <w:pStyle w:val="S09PARAGRAFISUCESSIVI"/>
        <w:jc w:val="center"/>
        <w:rPr>
          <w:lang w:val="en-US"/>
        </w:rPr>
      </w:pPr>
      <w:r w:rsidRPr="002D3AFE">
        <w:rPr>
          <w:noProof/>
          <w:lang w:val="en-US" w:eastAsia="en-US"/>
        </w:rPr>
        <w:drawing>
          <wp:inline distT="0" distB="0" distL="0" distR="0" wp14:anchorId="2FB7F9B6" wp14:editId="71EB794F">
            <wp:extent cx="4251278" cy="3020142"/>
            <wp:effectExtent l="0" t="0" r="0" b="0"/>
            <wp:docPr id="2" name="Picture 2" descr="C:\Users\YENTEKAKIS\Pictures\FIG 4 L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ENTEKAKIS\Pictures\FIG 4 LS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1921" cy="3034807"/>
                    </a:xfrm>
                    <a:prstGeom prst="rect">
                      <a:avLst/>
                    </a:prstGeom>
                    <a:noFill/>
                    <a:ln>
                      <a:noFill/>
                    </a:ln>
                  </pic:spPr>
                </pic:pic>
              </a:graphicData>
            </a:graphic>
          </wp:inline>
        </w:drawing>
      </w:r>
    </w:p>
    <w:p w14:paraId="0C2D50AA" w14:textId="7199C54E" w:rsidR="00EB0889" w:rsidRPr="002C7C96" w:rsidRDefault="002D3AFE" w:rsidP="002C7C96">
      <w:pPr>
        <w:pStyle w:val="S09PARAGRAFISUCESSIVI"/>
        <w:ind w:firstLine="0"/>
        <w:rPr>
          <w:b/>
          <w:lang w:val="en-US"/>
        </w:rPr>
      </w:pPr>
      <w:r w:rsidRPr="002D3AFE">
        <w:rPr>
          <w:b/>
          <w:lang w:val="en-US"/>
        </w:rPr>
        <w:t xml:space="preserve">Figure 4. </w:t>
      </w:r>
      <w:r w:rsidRPr="002D3AFE">
        <w:rPr>
          <w:lang w:val="en-US"/>
        </w:rPr>
        <w:t xml:space="preserve">CO conversion efficiency of </w:t>
      </w:r>
      <w:proofErr w:type="spellStart"/>
      <w:r w:rsidRPr="002D3AFE">
        <w:rPr>
          <w:lang w:val="en-US"/>
        </w:rPr>
        <w:t>Ir</w:t>
      </w:r>
      <w:proofErr w:type="spellEnd"/>
      <w:r w:rsidRPr="002D3AFE">
        <w:rPr>
          <w:lang w:val="en-US"/>
        </w:rPr>
        <w:t>/LSM catalysts tested after each of two in-situ sequential thermal aging steps at oxidative conditions (20%O</w:t>
      </w:r>
      <w:r w:rsidRPr="002D3AFE">
        <w:rPr>
          <w:vertAlign w:val="subscript"/>
          <w:lang w:val="en-US"/>
        </w:rPr>
        <w:t>2</w:t>
      </w:r>
      <w:r w:rsidRPr="002D3AFE">
        <w:rPr>
          <w:lang w:val="en-US"/>
        </w:rPr>
        <w:t>/He flux of 50 mL/min). 1</w:t>
      </w:r>
      <w:r w:rsidRPr="002D3AFE">
        <w:rPr>
          <w:vertAlign w:val="superscript"/>
          <w:lang w:val="en-US"/>
        </w:rPr>
        <w:t>st</w:t>
      </w:r>
      <w:r w:rsidRPr="002D3AFE">
        <w:rPr>
          <w:lang w:val="en-US"/>
        </w:rPr>
        <w:t xml:space="preserve"> step: 5 h at 600</w:t>
      </w:r>
      <w:r w:rsidRPr="002D3AFE">
        <w:rPr>
          <w:vertAlign w:val="superscript"/>
          <w:lang w:val="en-US"/>
        </w:rPr>
        <w:t>o</w:t>
      </w:r>
      <w:r w:rsidRPr="002D3AFE">
        <w:rPr>
          <w:lang w:val="en-US"/>
        </w:rPr>
        <w:t>C; 2</w:t>
      </w:r>
      <w:r w:rsidRPr="002D3AFE">
        <w:rPr>
          <w:vertAlign w:val="superscript"/>
          <w:lang w:val="en-US"/>
        </w:rPr>
        <w:t>nd</w:t>
      </w:r>
      <w:r w:rsidRPr="002D3AFE">
        <w:rPr>
          <w:lang w:val="en-US"/>
        </w:rPr>
        <w:t xml:space="preserve"> step: 5 additional hours at 750</w:t>
      </w:r>
      <w:r w:rsidRPr="002D3AFE">
        <w:rPr>
          <w:vertAlign w:val="superscript"/>
          <w:lang w:val="en-US"/>
        </w:rPr>
        <w:t>o</w:t>
      </w:r>
      <w:r w:rsidRPr="002D3AFE">
        <w:rPr>
          <w:lang w:val="en-US"/>
        </w:rPr>
        <w:t>C.</w:t>
      </w:r>
    </w:p>
    <w:p w14:paraId="417C45B3" w14:textId="6C9D8885" w:rsidR="00EB0889" w:rsidRPr="009E1846" w:rsidRDefault="009E1846" w:rsidP="009E1846">
      <w:pPr>
        <w:pStyle w:val="S09PARAGRAFISUCESSIVI"/>
        <w:rPr>
          <w:lang w:val="en-US"/>
        </w:rPr>
      </w:pPr>
      <w:r w:rsidRPr="009E1846">
        <w:rPr>
          <w:lang w:val="en-US"/>
        </w:rPr>
        <w:lastRenderedPageBreak/>
        <w:t xml:space="preserve">The activity of the </w:t>
      </w:r>
      <w:proofErr w:type="spellStart"/>
      <w:r w:rsidRPr="009E1846">
        <w:rPr>
          <w:lang w:val="en-US"/>
        </w:rPr>
        <w:t>Ir</w:t>
      </w:r>
      <w:proofErr w:type="spellEnd"/>
      <w:r w:rsidRPr="009E1846">
        <w:rPr>
          <w:lang w:val="en-US"/>
        </w:rPr>
        <w:t xml:space="preserve">/LSM catalysts after exposure to sequential high temperature oxidative aging steps </w:t>
      </w:r>
      <w:r w:rsidR="00B1776B">
        <w:rPr>
          <w:lang w:val="en-US"/>
        </w:rPr>
        <w:t>was also assessed (</w:t>
      </w:r>
      <w:r w:rsidRPr="009E1846">
        <w:rPr>
          <w:lang w:val="en-US"/>
        </w:rPr>
        <w:t>Fig. 4</w:t>
      </w:r>
      <w:r w:rsidR="00B1776B">
        <w:rPr>
          <w:lang w:val="en-US"/>
        </w:rPr>
        <w:t>)</w:t>
      </w:r>
      <w:r w:rsidRPr="009E1846">
        <w:rPr>
          <w:lang w:val="en-US"/>
        </w:rPr>
        <w:t xml:space="preserve">. The great robustness of all </w:t>
      </w:r>
      <w:proofErr w:type="spellStart"/>
      <w:r w:rsidRPr="009E1846">
        <w:rPr>
          <w:lang w:val="en-US"/>
        </w:rPr>
        <w:t>Ir</w:t>
      </w:r>
      <w:proofErr w:type="spellEnd"/>
      <w:r w:rsidRPr="009E1846">
        <w:rPr>
          <w:lang w:val="en-US"/>
        </w:rPr>
        <w:t>/LSM catalysts is clear, despite the fact that IrO</w:t>
      </w:r>
      <w:r w:rsidRPr="009E1846">
        <w:rPr>
          <w:vertAlign w:val="subscript"/>
          <w:lang w:val="en-US"/>
        </w:rPr>
        <w:t>2</w:t>
      </w:r>
      <w:r w:rsidRPr="009E1846">
        <w:rPr>
          <w:lang w:val="en-US"/>
        </w:rPr>
        <w:t xml:space="preserve"> is highly prone to agglomeration at such conditions; a slight deactivation was observed only on the sample with the high Sr content (</w:t>
      </w:r>
      <w:proofErr w:type="spellStart"/>
      <w:r w:rsidRPr="009E1846">
        <w:rPr>
          <w:lang w:val="en-US"/>
        </w:rPr>
        <w:t>Ir</w:t>
      </w:r>
      <w:proofErr w:type="spellEnd"/>
      <w:r w:rsidRPr="009E1846">
        <w:rPr>
          <w:lang w:val="en-US"/>
        </w:rPr>
        <w:t xml:space="preserve">/LSM70). These results indicate that support-induced anti-sinter mechanisms are at work in the present materials due to the high OSC values of the LSM supports, in agreement with the sintering resistance method and model recently reported in series of papers by Yentekakis and co-workers (Yentekakis et al., 2015; Yentekakis et al. 2016; Yentekakis et al., 2018; Goula et al., 2019). In brief the method and the explanation model </w:t>
      </w:r>
      <w:r w:rsidRPr="009E1846">
        <w:rPr>
          <w:bCs/>
          <w:lang w:val="en-US"/>
        </w:rPr>
        <w:t xml:space="preserve">is based on the fact that supports with high oxygen storage capacity values (and abundant surface oxygen vacancies) spontaneously endow (via thermal diffusion) catalyst particle surfaces with an </w:t>
      </w:r>
      <w:proofErr w:type="spellStart"/>
      <w:r w:rsidRPr="009E1846">
        <w:rPr>
          <w:bCs/>
          <w:lang w:val="en-US"/>
        </w:rPr>
        <w:t>O</w:t>
      </w:r>
      <w:r w:rsidRPr="009E1846">
        <w:rPr>
          <w:bCs/>
          <w:vertAlign w:val="superscript"/>
          <w:lang w:val="en-US"/>
        </w:rPr>
        <w:t>δ</w:t>
      </w:r>
      <w:proofErr w:type="spellEnd"/>
      <w:r w:rsidRPr="009E1846">
        <w:rPr>
          <w:bCs/>
          <w:vertAlign w:val="superscript"/>
          <w:lang w:val="en-US"/>
        </w:rPr>
        <w:t>-</w:t>
      </w:r>
      <w:r w:rsidRPr="009E1846">
        <w:rPr>
          <w:bCs/>
          <w:lang w:val="en-US"/>
        </w:rPr>
        <w:t xml:space="preserve"> species layer that resists particle migration and coalescence (PMC) through the electrostatic repulsive forces developed. At the same time, surface oxygen vacancies of the support act as trapping centers, inhibiting catalyst nanoparticles growth via the Ostwald ripening mechanism (Goula et al., 2019). </w:t>
      </w:r>
      <w:r w:rsidR="00B1776B">
        <w:rPr>
          <w:bCs/>
          <w:lang w:val="en-US"/>
        </w:rPr>
        <w:t>Thus, the</w:t>
      </w:r>
      <w:r w:rsidRPr="009E1846">
        <w:rPr>
          <w:bCs/>
          <w:lang w:val="en-US"/>
        </w:rPr>
        <w:t xml:space="preserve"> perovskite supports used herein for </w:t>
      </w:r>
      <w:proofErr w:type="spellStart"/>
      <w:r w:rsidRPr="009E1846">
        <w:rPr>
          <w:bCs/>
          <w:lang w:val="en-US"/>
        </w:rPr>
        <w:t>Ir</w:t>
      </w:r>
      <w:proofErr w:type="spellEnd"/>
      <w:r w:rsidRPr="009E1846">
        <w:rPr>
          <w:bCs/>
          <w:lang w:val="en-US"/>
        </w:rPr>
        <w:t xml:space="preserve"> nanoparticles dispersion satisfy these criteria resulting to very robust </w:t>
      </w:r>
      <w:proofErr w:type="spellStart"/>
      <w:r w:rsidRPr="009E1846">
        <w:rPr>
          <w:bCs/>
          <w:lang w:val="en-US"/>
        </w:rPr>
        <w:t>Ir</w:t>
      </w:r>
      <w:proofErr w:type="spellEnd"/>
      <w:r w:rsidRPr="009E1846">
        <w:rPr>
          <w:bCs/>
          <w:lang w:val="en-US"/>
        </w:rPr>
        <w:t xml:space="preserve">-based catalysts, minimizing the propensity of </w:t>
      </w:r>
      <w:proofErr w:type="spellStart"/>
      <w:r w:rsidRPr="009E1846">
        <w:rPr>
          <w:bCs/>
          <w:lang w:val="en-US"/>
        </w:rPr>
        <w:t>Ir</w:t>
      </w:r>
      <w:proofErr w:type="spellEnd"/>
      <w:r w:rsidRPr="009E1846">
        <w:rPr>
          <w:bCs/>
          <w:lang w:val="en-US"/>
        </w:rPr>
        <w:t xml:space="preserve"> to agglomerate in net oxidizing environments.     </w:t>
      </w:r>
    </w:p>
    <w:p w14:paraId="461DCE14" w14:textId="35E2AB39" w:rsidR="00EF4361" w:rsidRDefault="00EF4361" w:rsidP="00EF4361">
      <w:pPr>
        <w:pStyle w:val="TITLE2"/>
        <w:tabs>
          <w:tab w:val="clear" w:pos="9498"/>
          <w:tab w:val="left" w:pos="2820"/>
        </w:tabs>
        <w:spacing w:before="500"/>
      </w:pPr>
      <w:r>
        <w:t>4</w:t>
      </w:r>
      <w:r w:rsidRPr="00636B44">
        <w:t>.</w:t>
      </w:r>
      <w:r>
        <w:t xml:space="preserve"> CONCLUSIONS</w:t>
      </w:r>
      <w:r w:rsidRPr="00636B44">
        <w:t xml:space="preserve"> </w:t>
      </w:r>
    </w:p>
    <w:p w14:paraId="77E14420" w14:textId="140F4C54" w:rsidR="008657FE" w:rsidRPr="007E3E7D" w:rsidRDefault="00EB0889" w:rsidP="007E3E7D">
      <w:pPr>
        <w:pStyle w:val="TEXT"/>
        <w:ind w:firstLine="0"/>
        <w:rPr>
          <w:lang w:val="en-US"/>
        </w:rPr>
      </w:pPr>
      <w:r w:rsidRPr="001210BF">
        <w:rPr>
          <w:lang w:val="en-US"/>
        </w:rPr>
        <w:t xml:space="preserve">In </w:t>
      </w:r>
      <w:r>
        <w:rPr>
          <w:lang w:val="en-US"/>
        </w:rPr>
        <w:t>this</w:t>
      </w:r>
      <w:r w:rsidRPr="001210BF">
        <w:rPr>
          <w:lang w:val="en-US"/>
        </w:rPr>
        <w:t xml:space="preserve"> work, </w:t>
      </w:r>
      <w:r>
        <w:rPr>
          <w:lang w:val="en-US"/>
        </w:rPr>
        <w:t xml:space="preserve">LSM </w:t>
      </w:r>
      <w:r w:rsidR="00D72704" w:rsidRPr="00D72704">
        <w:rPr>
          <w:lang w:val="en-US"/>
        </w:rPr>
        <w:t>(</w:t>
      </w:r>
      <w:r w:rsidR="00D72704" w:rsidRPr="006F2552">
        <w:rPr>
          <w:lang w:val="en-US"/>
        </w:rPr>
        <w:t>L</w:t>
      </w:r>
      <w:r w:rsidR="00D72704">
        <w:rPr>
          <w:lang w:val="en-US"/>
        </w:rPr>
        <w:t>a</w:t>
      </w:r>
      <w:r w:rsidR="00D72704">
        <w:rPr>
          <w:vertAlign w:val="subscript"/>
          <w:lang w:val="en-US"/>
        </w:rPr>
        <w:t>1-x</w:t>
      </w:r>
      <w:r w:rsidR="00D72704">
        <w:rPr>
          <w:lang w:val="en-US"/>
        </w:rPr>
        <w:t>Sr</w:t>
      </w:r>
      <w:r w:rsidR="00D72704">
        <w:rPr>
          <w:vertAlign w:val="subscript"/>
          <w:lang w:val="en-US"/>
        </w:rPr>
        <w:t>x</w:t>
      </w:r>
      <w:r w:rsidR="00D72704">
        <w:rPr>
          <w:lang w:val="en-US"/>
        </w:rPr>
        <w:t>MnO</w:t>
      </w:r>
      <w:r w:rsidR="00D72704">
        <w:rPr>
          <w:vertAlign w:val="subscript"/>
          <w:lang w:val="en-US"/>
        </w:rPr>
        <w:t>3</w:t>
      </w:r>
      <w:r w:rsidR="00D72704">
        <w:rPr>
          <w:lang w:val="en-US"/>
        </w:rPr>
        <w:t xml:space="preserve">, </w:t>
      </w:r>
      <w:r w:rsidR="00D72704" w:rsidRPr="00D72704">
        <w:rPr>
          <w:lang w:val="en-US"/>
        </w:rPr>
        <w:t>x=0, 0.3, 0.5, and 0.7)</w:t>
      </w:r>
      <w:r w:rsidR="00D72704">
        <w:rPr>
          <w:lang w:val="en-US"/>
        </w:rPr>
        <w:t xml:space="preserve"> </w:t>
      </w:r>
      <w:r>
        <w:rPr>
          <w:lang w:val="en-US"/>
        </w:rPr>
        <w:t xml:space="preserve">perovskite supports </w:t>
      </w:r>
      <w:r w:rsidR="00963815">
        <w:rPr>
          <w:lang w:val="en-US"/>
        </w:rPr>
        <w:t xml:space="preserve">and </w:t>
      </w:r>
      <w:proofErr w:type="spellStart"/>
      <w:r w:rsidR="00963815">
        <w:rPr>
          <w:lang w:val="en-US"/>
        </w:rPr>
        <w:t>Ir</w:t>
      </w:r>
      <w:proofErr w:type="spellEnd"/>
      <w:r w:rsidR="00963815">
        <w:rPr>
          <w:lang w:val="en-US"/>
        </w:rPr>
        <w:t xml:space="preserve">/LSM counterpart catalysts were </w:t>
      </w:r>
      <w:r w:rsidR="00217636">
        <w:rPr>
          <w:lang w:val="en-US"/>
        </w:rPr>
        <w:t xml:space="preserve">comparatively </w:t>
      </w:r>
      <w:r w:rsidR="00963815">
        <w:rPr>
          <w:lang w:val="en-US"/>
        </w:rPr>
        <w:t xml:space="preserve">studied for their activity and stability after high temperature thermal aging at oxidizing conditions </w:t>
      </w:r>
      <w:r w:rsidR="00B1776B">
        <w:rPr>
          <w:lang w:val="en-US"/>
        </w:rPr>
        <w:t>for the</w:t>
      </w:r>
      <w:r w:rsidR="00963815">
        <w:rPr>
          <w:lang w:val="en-US"/>
        </w:rPr>
        <w:t xml:space="preserve"> CO oxidation reaction. Both LSM supports and </w:t>
      </w:r>
      <w:proofErr w:type="spellStart"/>
      <w:r w:rsidR="00963815">
        <w:rPr>
          <w:lang w:val="en-US"/>
        </w:rPr>
        <w:t>Ir</w:t>
      </w:r>
      <w:proofErr w:type="spellEnd"/>
      <w:r w:rsidR="00963815">
        <w:rPr>
          <w:lang w:val="en-US"/>
        </w:rPr>
        <w:t>/LSM materials are active to CO oxidation</w:t>
      </w:r>
      <w:r w:rsidR="00B1776B">
        <w:rPr>
          <w:lang w:val="en-US"/>
        </w:rPr>
        <w:t>, notably</w:t>
      </w:r>
      <w:r w:rsidR="00963815">
        <w:rPr>
          <w:lang w:val="en-US"/>
        </w:rPr>
        <w:t xml:space="preserve"> in the </w:t>
      </w:r>
      <w:r w:rsidR="00D72704">
        <w:rPr>
          <w:lang w:val="en-US"/>
        </w:rPr>
        <w:t xml:space="preserve">interest for automotive emissions control catalysis </w:t>
      </w:r>
      <w:r w:rsidR="00963815">
        <w:rPr>
          <w:lang w:val="en-US"/>
        </w:rPr>
        <w:t>temperature range of ca. 200-450</w:t>
      </w:r>
      <w:r w:rsidR="00963815" w:rsidRPr="00D72704">
        <w:rPr>
          <w:vertAlign w:val="superscript"/>
          <w:lang w:val="en-US"/>
        </w:rPr>
        <w:t>o</w:t>
      </w:r>
      <w:r w:rsidR="00963815">
        <w:rPr>
          <w:lang w:val="en-US"/>
        </w:rPr>
        <w:t xml:space="preserve">C. </w:t>
      </w:r>
      <w:r w:rsidR="00D72704">
        <w:rPr>
          <w:lang w:val="en-US"/>
        </w:rPr>
        <w:t xml:space="preserve">However, </w:t>
      </w:r>
      <w:proofErr w:type="spellStart"/>
      <w:r w:rsidR="00963815">
        <w:rPr>
          <w:lang w:val="en-US"/>
        </w:rPr>
        <w:t>Ir</w:t>
      </w:r>
      <w:proofErr w:type="spellEnd"/>
      <w:r w:rsidR="00963815">
        <w:rPr>
          <w:lang w:val="en-US"/>
        </w:rPr>
        <w:t xml:space="preserve">/LSM were significantly more active than LSM alone and in particular </w:t>
      </w:r>
      <w:r w:rsidR="00D72704">
        <w:rPr>
          <w:lang w:val="en-US"/>
        </w:rPr>
        <w:t>in their pre-reduced state, indicating that Ir</w:t>
      </w:r>
      <w:r w:rsidR="00D72704" w:rsidRPr="00D72704">
        <w:rPr>
          <w:vertAlign w:val="superscript"/>
          <w:lang w:val="en-US"/>
        </w:rPr>
        <w:t>0</w:t>
      </w:r>
      <w:r w:rsidR="00D72704">
        <w:rPr>
          <w:lang w:val="en-US"/>
        </w:rPr>
        <w:t xml:space="preserve"> phase outweighs IrO</w:t>
      </w:r>
      <w:r w:rsidR="00D72704" w:rsidRPr="00D72704">
        <w:rPr>
          <w:vertAlign w:val="subscript"/>
          <w:lang w:val="en-US"/>
        </w:rPr>
        <w:t>2</w:t>
      </w:r>
      <w:r w:rsidR="00D72704">
        <w:rPr>
          <w:lang w:val="en-US"/>
        </w:rPr>
        <w:t xml:space="preserve"> in CO oxidation react</w:t>
      </w:r>
      <w:r w:rsidR="004773BE">
        <w:rPr>
          <w:lang w:val="en-US"/>
        </w:rPr>
        <w:t>ion.</w:t>
      </w:r>
      <w:r w:rsidR="00D72704">
        <w:rPr>
          <w:lang w:val="en-US"/>
        </w:rPr>
        <w:t xml:space="preserve"> </w:t>
      </w:r>
      <w:r w:rsidR="004773BE">
        <w:rPr>
          <w:lang w:val="en-US"/>
        </w:rPr>
        <w:t xml:space="preserve">Increasing the substitution of La by Sr in the perovskite support chemical formula causes a decrease in CO conversion efficiency of the catalysts, which followed the order </w:t>
      </w:r>
      <w:proofErr w:type="spellStart"/>
      <w:r w:rsidR="004773BE">
        <w:rPr>
          <w:lang w:val="en-US"/>
        </w:rPr>
        <w:t>Ir</w:t>
      </w:r>
      <w:proofErr w:type="spellEnd"/>
      <w:r w:rsidR="004773BE" w:rsidRPr="0036129C">
        <w:rPr>
          <w:lang w:val="en-US"/>
        </w:rPr>
        <w:t>/</w:t>
      </w:r>
      <w:r w:rsidR="004773BE" w:rsidRPr="006F2552">
        <w:rPr>
          <w:lang w:val="en-US"/>
        </w:rPr>
        <w:t>L</w:t>
      </w:r>
      <w:r w:rsidR="004773BE">
        <w:rPr>
          <w:lang w:val="en-US"/>
        </w:rPr>
        <w:t>aMnO</w:t>
      </w:r>
      <w:r w:rsidR="004773BE">
        <w:rPr>
          <w:vertAlign w:val="subscript"/>
          <w:lang w:val="en-US"/>
        </w:rPr>
        <w:t>3</w:t>
      </w:r>
      <w:r w:rsidR="004773BE" w:rsidRPr="0036129C">
        <w:rPr>
          <w:lang w:val="en-US"/>
        </w:rPr>
        <w:t xml:space="preserve"> &gt; </w:t>
      </w:r>
      <w:proofErr w:type="spellStart"/>
      <w:r w:rsidR="004773BE" w:rsidRPr="0036129C">
        <w:rPr>
          <w:lang w:val="en-US"/>
        </w:rPr>
        <w:t>Ir</w:t>
      </w:r>
      <w:proofErr w:type="spellEnd"/>
      <w:r w:rsidR="004773BE" w:rsidRPr="0036129C">
        <w:rPr>
          <w:lang w:val="en-US"/>
        </w:rPr>
        <w:t>/</w:t>
      </w:r>
      <w:r w:rsidR="004773BE" w:rsidRPr="004773BE">
        <w:rPr>
          <w:lang w:val="en-US"/>
        </w:rPr>
        <w:t xml:space="preserve"> </w:t>
      </w:r>
      <w:r w:rsidR="004773BE" w:rsidRPr="006F2552">
        <w:rPr>
          <w:lang w:val="en-US"/>
        </w:rPr>
        <w:t>L</w:t>
      </w:r>
      <w:r w:rsidR="004773BE">
        <w:rPr>
          <w:lang w:val="en-US"/>
        </w:rPr>
        <w:t>a</w:t>
      </w:r>
      <w:r w:rsidR="004773BE">
        <w:rPr>
          <w:vertAlign w:val="subscript"/>
          <w:lang w:val="en-US"/>
        </w:rPr>
        <w:t>0.7</w:t>
      </w:r>
      <w:r w:rsidR="004773BE">
        <w:rPr>
          <w:lang w:val="en-US"/>
        </w:rPr>
        <w:t>Sr</w:t>
      </w:r>
      <w:r w:rsidR="004773BE">
        <w:rPr>
          <w:vertAlign w:val="subscript"/>
          <w:lang w:val="en-US"/>
        </w:rPr>
        <w:t>0.3</w:t>
      </w:r>
      <w:r w:rsidR="004773BE">
        <w:rPr>
          <w:lang w:val="en-US"/>
        </w:rPr>
        <w:t>MnO</w:t>
      </w:r>
      <w:r w:rsidR="004773BE">
        <w:rPr>
          <w:vertAlign w:val="subscript"/>
          <w:lang w:val="en-US"/>
        </w:rPr>
        <w:t>3</w:t>
      </w:r>
      <w:r w:rsidR="004773BE" w:rsidRPr="0036129C">
        <w:rPr>
          <w:lang w:val="en-US"/>
        </w:rPr>
        <w:t xml:space="preserve"> &gt; </w:t>
      </w:r>
      <w:proofErr w:type="spellStart"/>
      <w:r w:rsidR="004773BE" w:rsidRPr="0036129C">
        <w:rPr>
          <w:lang w:val="en-US"/>
        </w:rPr>
        <w:t>Ir</w:t>
      </w:r>
      <w:proofErr w:type="spellEnd"/>
      <w:r w:rsidR="004773BE" w:rsidRPr="0036129C">
        <w:rPr>
          <w:lang w:val="en-US"/>
        </w:rPr>
        <w:t>/</w:t>
      </w:r>
      <w:r w:rsidR="004773BE" w:rsidRPr="004773BE">
        <w:rPr>
          <w:szCs w:val="20"/>
          <w:lang w:val="en-US"/>
        </w:rPr>
        <w:t xml:space="preserve"> </w:t>
      </w:r>
      <w:r w:rsidR="004773BE" w:rsidRPr="004773BE">
        <w:rPr>
          <w:lang w:val="en-US"/>
        </w:rPr>
        <w:t>La</w:t>
      </w:r>
      <w:r w:rsidR="004773BE">
        <w:rPr>
          <w:vertAlign w:val="subscript"/>
          <w:lang w:val="en-US"/>
        </w:rPr>
        <w:t>0.5</w:t>
      </w:r>
      <w:r w:rsidR="004773BE" w:rsidRPr="004773BE">
        <w:rPr>
          <w:lang w:val="en-US"/>
        </w:rPr>
        <w:t>Sr</w:t>
      </w:r>
      <w:r w:rsidR="004773BE">
        <w:rPr>
          <w:vertAlign w:val="subscript"/>
          <w:lang w:val="en-US"/>
        </w:rPr>
        <w:t>0.5</w:t>
      </w:r>
      <w:r w:rsidR="004773BE" w:rsidRPr="004773BE">
        <w:rPr>
          <w:lang w:val="en-US"/>
        </w:rPr>
        <w:t>MnO</w:t>
      </w:r>
      <w:r w:rsidR="004773BE" w:rsidRPr="004773BE">
        <w:rPr>
          <w:vertAlign w:val="subscript"/>
          <w:lang w:val="en-US"/>
        </w:rPr>
        <w:t>3</w:t>
      </w:r>
      <w:r w:rsidR="004773BE" w:rsidRPr="0036129C">
        <w:rPr>
          <w:lang w:val="en-US"/>
        </w:rPr>
        <w:t xml:space="preserve"> &gt; </w:t>
      </w:r>
      <w:proofErr w:type="spellStart"/>
      <w:r w:rsidR="004773BE" w:rsidRPr="0036129C">
        <w:rPr>
          <w:lang w:val="en-US"/>
        </w:rPr>
        <w:t>Ir</w:t>
      </w:r>
      <w:proofErr w:type="spellEnd"/>
      <w:r w:rsidR="004773BE" w:rsidRPr="0036129C">
        <w:rPr>
          <w:lang w:val="en-US"/>
        </w:rPr>
        <w:t>/</w:t>
      </w:r>
      <w:r w:rsidR="004773BE" w:rsidRPr="004773BE">
        <w:rPr>
          <w:lang w:val="en-US"/>
        </w:rPr>
        <w:t xml:space="preserve"> </w:t>
      </w:r>
      <w:r w:rsidR="004773BE" w:rsidRPr="006F2552">
        <w:rPr>
          <w:lang w:val="en-US"/>
        </w:rPr>
        <w:t>L</w:t>
      </w:r>
      <w:r w:rsidR="004773BE">
        <w:rPr>
          <w:lang w:val="en-US"/>
        </w:rPr>
        <w:t>a</w:t>
      </w:r>
      <w:r w:rsidR="004773BE">
        <w:rPr>
          <w:vertAlign w:val="subscript"/>
          <w:lang w:val="en-US"/>
        </w:rPr>
        <w:t>0.3</w:t>
      </w:r>
      <w:r w:rsidR="004773BE">
        <w:rPr>
          <w:lang w:val="en-US"/>
        </w:rPr>
        <w:t>Sr</w:t>
      </w:r>
      <w:r w:rsidR="004773BE">
        <w:rPr>
          <w:vertAlign w:val="subscript"/>
          <w:lang w:val="en-US"/>
        </w:rPr>
        <w:t>0.7</w:t>
      </w:r>
      <w:r w:rsidR="004773BE">
        <w:rPr>
          <w:lang w:val="en-US"/>
        </w:rPr>
        <w:t>MnO</w:t>
      </w:r>
      <w:r w:rsidR="004773BE">
        <w:rPr>
          <w:vertAlign w:val="subscript"/>
          <w:lang w:val="en-US"/>
        </w:rPr>
        <w:t>3</w:t>
      </w:r>
      <w:r w:rsidR="004F0345">
        <w:rPr>
          <w:lang w:val="en-US"/>
        </w:rPr>
        <w:t xml:space="preserve"> on pre-reduced samples</w:t>
      </w:r>
      <w:r w:rsidR="004773BE">
        <w:rPr>
          <w:lang w:val="en-US"/>
        </w:rPr>
        <w:t xml:space="preserve">. Starting with pre-reduced </w:t>
      </w:r>
      <w:proofErr w:type="spellStart"/>
      <w:r w:rsidR="004773BE">
        <w:rPr>
          <w:lang w:val="en-US"/>
        </w:rPr>
        <w:t>Ir</w:t>
      </w:r>
      <w:proofErr w:type="spellEnd"/>
      <w:r w:rsidR="004773BE">
        <w:rPr>
          <w:lang w:val="en-US"/>
        </w:rPr>
        <w:t xml:space="preserve">/LSM catalysts, clockwise hysteresis phenomena were valid in light-off light-out experiments, with their temperature altitude to be </w:t>
      </w:r>
      <w:r w:rsidR="007E3E7D">
        <w:rPr>
          <w:lang w:val="en-US"/>
        </w:rPr>
        <w:t xml:space="preserve">depressed as the La substitution by Sr increases. The high OSC of the LSM supports endowed </w:t>
      </w:r>
      <w:proofErr w:type="spellStart"/>
      <w:r w:rsidR="007E3E7D">
        <w:rPr>
          <w:lang w:val="en-US"/>
        </w:rPr>
        <w:t>Ir</w:t>
      </w:r>
      <w:proofErr w:type="spellEnd"/>
      <w:r w:rsidR="007E3E7D">
        <w:rPr>
          <w:lang w:val="en-US"/>
        </w:rPr>
        <w:t xml:space="preserve"> nanoparticles with exceptional anti-sinter properties, so as CO oxidation activity of the </w:t>
      </w:r>
      <w:proofErr w:type="spellStart"/>
      <w:r w:rsidR="007E3E7D">
        <w:rPr>
          <w:lang w:val="en-US"/>
        </w:rPr>
        <w:t>Ir</w:t>
      </w:r>
      <w:proofErr w:type="spellEnd"/>
      <w:r w:rsidR="007E3E7D">
        <w:rPr>
          <w:lang w:val="en-US"/>
        </w:rPr>
        <w:t>/LSM catalysts was remained absolutely stable even after exposure to extreme thermal aging conditions at oxidizing env</w:t>
      </w:r>
      <w:r w:rsidR="00607320">
        <w:rPr>
          <w:lang w:val="en-US"/>
        </w:rPr>
        <w:t xml:space="preserve">ironment. </w:t>
      </w:r>
      <w:proofErr w:type="spellStart"/>
      <w:r w:rsidR="00607320">
        <w:rPr>
          <w:lang w:val="en-US"/>
        </w:rPr>
        <w:t>Ir</w:t>
      </w:r>
      <w:proofErr w:type="spellEnd"/>
      <w:r w:rsidR="00607320">
        <w:rPr>
          <w:lang w:val="en-US"/>
        </w:rPr>
        <w:t>/LSM catalysts seem</w:t>
      </w:r>
      <w:r w:rsidR="007E3E7D">
        <w:rPr>
          <w:lang w:val="en-US"/>
        </w:rPr>
        <w:t xml:space="preserve"> promising in emissions control systems at excess oxygen conditions, e.g.</w:t>
      </w:r>
      <w:r w:rsidR="00607320">
        <w:rPr>
          <w:lang w:val="en-US"/>
        </w:rPr>
        <w:t>,</w:t>
      </w:r>
      <w:r w:rsidR="007E3E7D">
        <w:rPr>
          <w:lang w:val="en-US"/>
        </w:rPr>
        <w:t xml:space="preserve"> lean-burn and diesel exhaust</w:t>
      </w:r>
      <w:r w:rsidR="00883821">
        <w:rPr>
          <w:lang w:val="en-US"/>
        </w:rPr>
        <w:t xml:space="preserve"> gases and</w:t>
      </w:r>
      <w:r w:rsidR="007E3E7D">
        <w:rPr>
          <w:lang w:val="en-US"/>
        </w:rPr>
        <w:t xml:space="preserve"> fossil fuel combustion processes</w:t>
      </w:r>
      <w:r w:rsidR="00883821">
        <w:rPr>
          <w:lang w:val="en-US"/>
        </w:rPr>
        <w:t>.</w:t>
      </w:r>
      <w:r w:rsidR="007E3E7D">
        <w:rPr>
          <w:lang w:val="en-US"/>
        </w:rPr>
        <w:t xml:space="preserve">  </w:t>
      </w:r>
    </w:p>
    <w:p w14:paraId="5E2AC939" w14:textId="77777777" w:rsidR="00B1776B" w:rsidRDefault="00B1776B" w:rsidP="00B1776B">
      <w:pPr>
        <w:pStyle w:val="TITLE2"/>
        <w:tabs>
          <w:tab w:val="clear" w:pos="9498"/>
          <w:tab w:val="left" w:pos="2820"/>
        </w:tabs>
        <w:spacing w:before="0" w:after="0" w:line="240" w:lineRule="auto"/>
        <w:rPr>
          <w:color w:val="auto"/>
        </w:rPr>
      </w:pPr>
    </w:p>
    <w:p w14:paraId="3A2BF8F1" w14:textId="7CAD9172" w:rsidR="003B1E4F" w:rsidRPr="008F1035" w:rsidRDefault="003B1E4F" w:rsidP="00B1776B">
      <w:pPr>
        <w:pStyle w:val="TITLE2"/>
        <w:tabs>
          <w:tab w:val="clear" w:pos="9498"/>
          <w:tab w:val="left" w:pos="2820"/>
        </w:tabs>
        <w:spacing w:before="0" w:after="120" w:line="240" w:lineRule="auto"/>
        <w:rPr>
          <w:rFonts w:ascii="Times New Roman" w:hAnsi="Times New Roman" w:cs="Times New Roman"/>
          <w:color w:val="auto"/>
          <w:lang w:val="en-US"/>
        </w:rPr>
      </w:pPr>
      <w:r w:rsidRPr="008F1035">
        <w:rPr>
          <w:color w:val="auto"/>
        </w:rPr>
        <w:t>ACKNOWLWDGEMENTS</w:t>
      </w:r>
    </w:p>
    <w:p w14:paraId="1C44BC78" w14:textId="6E1FBF88" w:rsidR="00B46832" w:rsidRDefault="003B1E4F" w:rsidP="00B46832">
      <w:pPr>
        <w:pStyle w:val="TEXT"/>
        <w:spacing w:after="120" w:line="240" w:lineRule="auto"/>
        <w:ind w:firstLine="0"/>
        <w:rPr>
          <w:lang w:val="en-US"/>
        </w:rPr>
      </w:pPr>
      <w:r w:rsidRPr="008F1035">
        <w:rPr>
          <w:lang w:val="en-US"/>
        </w:rPr>
        <w:t>Financial support by the Greek-Chinese bilateral research and innovation cooperation, 2018-2021 program (Project No: T7ΔΚI-00356) is gratefully acknowledged.</w:t>
      </w:r>
    </w:p>
    <w:p w14:paraId="4A6E280F" w14:textId="77777777" w:rsidR="002D3AFE" w:rsidRPr="00B46832" w:rsidRDefault="002D3AFE" w:rsidP="00B46832">
      <w:pPr>
        <w:pStyle w:val="TEXT"/>
        <w:spacing w:after="120" w:line="240" w:lineRule="auto"/>
        <w:ind w:firstLine="0"/>
        <w:rPr>
          <w:lang w:val="en-US"/>
        </w:rPr>
      </w:pPr>
    </w:p>
    <w:p w14:paraId="37B6E4B7" w14:textId="0E026DFC" w:rsidR="005A0C20" w:rsidRDefault="008A4E8B" w:rsidP="00BA13EA">
      <w:pPr>
        <w:pStyle w:val="S09PARAGRAFISUCESSIVI"/>
        <w:spacing w:after="120" w:line="240" w:lineRule="auto"/>
        <w:ind w:firstLine="0"/>
        <w:rPr>
          <w:b/>
          <w:bCs/>
          <w:color w:val="000000"/>
          <w:lang w:val="en-US"/>
        </w:rPr>
      </w:pPr>
      <w:r w:rsidRPr="008A4E8B">
        <w:rPr>
          <w:b/>
          <w:bCs/>
          <w:color w:val="000000"/>
          <w:lang w:val="en-US"/>
        </w:rPr>
        <w:t>REFERENCES</w:t>
      </w:r>
    </w:p>
    <w:p w14:paraId="4F98B9B0" w14:textId="228225B7" w:rsidR="001957B5" w:rsidRPr="002C7C96" w:rsidRDefault="001957B5" w:rsidP="00402233">
      <w:pPr>
        <w:pStyle w:val="S09PARAGRAFISUCESSIVI"/>
        <w:numPr>
          <w:ilvl w:val="0"/>
          <w:numId w:val="1"/>
        </w:numPr>
        <w:tabs>
          <w:tab w:val="left" w:pos="540"/>
        </w:tabs>
        <w:spacing w:line="240" w:lineRule="auto"/>
        <w:rPr>
          <w:bCs/>
          <w:color w:val="000000"/>
          <w:lang w:val="en-US"/>
        </w:rPr>
      </w:pPr>
      <w:r w:rsidRPr="002C7C96">
        <w:rPr>
          <w:bCs/>
          <w:color w:val="000000"/>
          <w:lang w:val="en-US"/>
        </w:rPr>
        <w:t xml:space="preserve">Al </w:t>
      </w:r>
      <w:proofErr w:type="spellStart"/>
      <w:r w:rsidRPr="002C7C96">
        <w:rPr>
          <w:bCs/>
          <w:color w:val="000000"/>
          <w:lang w:val="en-US"/>
        </w:rPr>
        <w:t>Soubaihi</w:t>
      </w:r>
      <w:proofErr w:type="spellEnd"/>
      <w:r w:rsidRPr="002C7C96">
        <w:rPr>
          <w:bCs/>
          <w:color w:val="000000"/>
          <w:lang w:val="en-US"/>
        </w:rPr>
        <w:t xml:space="preserve">, R.M., Saoud, K.M., Dutta, J. 2018. Critical review of low-temperature CO oxidation and Hysteresis phenomenon on heterogeneous catalysts. Catalysts 8, 660. </w:t>
      </w:r>
    </w:p>
    <w:p w14:paraId="2BB3B7C6" w14:textId="75EDAC14" w:rsidR="001957B5" w:rsidRPr="002C7C96" w:rsidRDefault="001957B5" w:rsidP="00402233">
      <w:pPr>
        <w:pStyle w:val="S09PARAGRAFISUCESSIVI"/>
        <w:numPr>
          <w:ilvl w:val="0"/>
          <w:numId w:val="1"/>
        </w:numPr>
        <w:spacing w:line="240" w:lineRule="auto"/>
        <w:rPr>
          <w:bCs/>
          <w:color w:val="000000"/>
          <w:lang w:val="en-US"/>
        </w:rPr>
      </w:pPr>
      <w:r w:rsidRPr="002C7C96">
        <w:rPr>
          <w:bCs/>
          <w:color w:val="000000"/>
          <w:lang w:val="en-US"/>
        </w:rPr>
        <w:t xml:space="preserve">Freund, H.-J., Meijer, G., Scheffler, M., </w:t>
      </w:r>
      <w:proofErr w:type="spellStart"/>
      <w:r w:rsidRPr="002C7C96">
        <w:rPr>
          <w:bCs/>
          <w:color w:val="000000"/>
          <w:lang w:val="en-US"/>
        </w:rPr>
        <w:t>Schlögl</w:t>
      </w:r>
      <w:proofErr w:type="spellEnd"/>
      <w:r w:rsidRPr="002C7C96">
        <w:rPr>
          <w:bCs/>
          <w:color w:val="000000"/>
          <w:lang w:val="en-US"/>
        </w:rPr>
        <w:t xml:space="preserve">, R., Wolf, M., 2011. CO oxidation as a Prototypical Reaction for Heterogeneous Processes. </w:t>
      </w:r>
      <w:proofErr w:type="spellStart"/>
      <w:r w:rsidRPr="002C7C96">
        <w:rPr>
          <w:bCs/>
          <w:color w:val="000000"/>
          <w:lang w:val="en-US"/>
        </w:rPr>
        <w:t>Angew</w:t>
      </w:r>
      <w:proofErr w:type="spellEnd"/>
      <w:r w:rsidRPr="002C7C96">
        <w:rPr>
          <w:bCs/>
          <w:color w:val="000000"/>
          <w:lang w:val="en-US"/>
        </w:rPr>
        <w:t xml:space="preserve">. Chem. Int. Ed. 50, 10064-10094. </w:t>
      </w:r>
    </w:p>
    <w:p w14:paraId="254A8F99" w14:textId="39EF69DC" w:rsidR="001957B5" w:rsidRPr="002C7C96" w:rsidRDefault="001957B5" w:rsidP="001957B5">
      <w:pPr>
        <w:pStyle w:val="S09PARAGRAFISUCESSIVI"/>
        <w:numPr>
          <w:ilvl w:val="0"/>
          <w:numId w:val="1"/>
        </w:numPr>
        <w:rPr>
          <w:bCs/>
          <w:color w:val="000000"/>
          <w:lang w:val="en-US"/>
        </w:rPr>
      </w:pPr>
      <w:proofErr w:type="spellStart"/>
      <w:r w:rsidRPr="002C7C96">
        <w:rPr>
          <w:bCs/>
          <w:color w:val="000000"/>
          <w:lang w:val="en-US"/>
        </w:rPr>
        <w:t>Gálvez</w:t>
      </w:r>
      <w:proofErr w:type="spellEnd"/>
      <w:r w:rsidRPr="002C7C96">
        <w:rPr>
          <w:bCs/>
          <w:color w:val="000000"/>
          <w:lang w:val="en-US"/>
        </w:rPr>
        <w:t xml:space="preserve">, M.E., </w:t>
      </w:r>
      <w:proofErr w:type="spellStart"/>
      <w:r w:rsidRPr="002C7C96">
        <w:rPr>
          <w:bCs/>
          <w:color w:val="000000"/>
          <w:lang w:val="en-US"/>
        </w:rPr>
        <w:t>Jacot</w:t>
      </w:r>
      <w:proofErr w:type="spellEnd"/>
      <w:r w:rsidRPr="002C7C96">
        <w:rPr>
          <w:bCs/>
          <w:color w:val="000000"/>
          <w:lang w:val="en-US"/>
        </w:rPr>
        <w:t xml:space="preserve">, R., </w:t>
      </w:r>
      <w:proofErr w:type="spellStart"/>
      <w:r w:rsidRPr="002C7C96">
        <w:rPr>
          <w:bCs/>
          <w:color w:val="000000"/>
          <w:lang w:val="en-US"/>
        </w:rPr>
        <w:t>Scheffe</w:t>
      </w:r>
      <w:proofErr w:type="spellEnd"/>
      <w:r w:rsidRPr="002C7C96">
        <w:rPr>
          <w:bCs/>
          <w:color w:val="000000"/>
          <w:lang w:val="en-US"/>
        </w:rPr>
        <w:t xml:space="preserve">, J., Cooper, T., </w:t>
      </w:r>
      <w:proofErr w:type="spellStart"/>
      <w:r w:rsidRPr="002C7C96">
        <w:rPr>
          <w:bCs/>
          <w:color w:val="000000"/>
          <w:lang w:val="en-US"/>
        </w:rPr>
        <w:t>Patzke</w:t>
      </w:r>
      <w:proofErr w:type="spellEnd"/>
      <w:r w:rsidRPr="002C7C96">
        <w:rPr>
          <w:bCs/>
          <w:color w:val="000000"/>
          <w:lang w:val="en-US"/>
        </w:rPr>
        <w:t xml:space="preserve">, G., Steinfeld, A., 2015. </w:t>
      </w:r>
      <w:proofErr w:type="spellStart"/>
      <w:r w:rsidRPr="002C7C96">
        <w:rPr>
          <w:bCs/>
          <w:color w:val="000000"/>
          <w:lang w:val="en-US"/>
        </w:rPr>
        <w:t>Physico</w:t>
      </w:r>
      <w:proofErr w:type="spellEnd"/>
      <w:r w:rsidRPr="002C7C96">
        <w:rPr>
          <w:bCs/>
          <w:color w:val="000000"/>
          <w:lang w:val="en-US"/>
        </w:rPr>
        <w:t xml:space="preserve">-chemical </w:t>
      </w:r>
      <w:r w:rsidRPr="002C7C96">
        <w:rPr>
          <w:bCs/>
          <w:color w:val="000000"/>
          <w:lang w:val="en-US"/>
        </w:rPr>
        <w:lastRenderedPageBreak/>
        <w:t>changes in Ca, Sr, and Al-doped La-Mn-O perovskites upon thermochemical splitting of CO</w:t>
      </w:r>
      <w:r w:rsidRPr="002C7C96">
        <w:rPr>
          <w:bCs/>
          <w:color w:val="000000"/>
          <w:vertAlign w:val="subscript"/>
          <w:lang w:val="en-US"/>
        </w:rPr>
        <w:t>2</w:t>
      </w:r>
      <w:r w:rsidRPr="002C7C96">
        <w:rPr>
          <w:bCs/>
          <w:color w:val="000000"/>
          <w:lang w:val="en-US"/>
        </w:rPr>
        <w:t xml:space="preserve"> via redox cycling. Phys. Chem. Chem. Phys., 17, 6629-6634. </w:t>
      </w:r>
    </w:p>
    <w:p w14:paraId="780CBB31" w14:textId="6D2AC54B" w:rsidR="001957B5" w:rsidRPr="002C7C96" w:rsidRDefault="001957B5" w:rsidP="001957B5">
      <w:pPr>
        <w:pStyle w:val="S09PARAGRAFISUCESSIVI"/>
        <w:numPr>
          <w:ilvl w:val="0"/>
          <w:numId w:val="1"/>
        </w:numPr>
        <w:rPr>
          <w:bCs/>
          <w:color w:val="000000"/>
          <w:lang w:val="en-US"/>
        </w:rPr>
      </w:pPr>
      <w:r w:rsidRPr="002C7C96">
        <w:rPr>
          <w:bCs/>
          <w:color w:val="000000"/>
          <w:lang w:val="en-US"/>
        </w:rPr>
        <w:t xml:space="preserve">Goula, G., Botzolaki, G., </w:t>
      </w:r>
      <w:proofErr w:type="spellStart"/>
      <w:r w:rsidRPr="002C7C96">
        <w:rPr>
          <w:bCs/>
          <w:color w:val="000000"/>
          <w:lang w:val="en-US"/>
        </w:rPr>
        <w:t>Osatiashtiani</w:t>
      </w:r>
      <w:proofErr w:type="spellEnd"/>
      <w:r w:rsidRPr="002C7C96">
        <w:rPr>
          <w:bCs/>
          <w:color w:val="000000"/>
          <w:lang w:val="en-US"/>
        </w:rPr>
        <w:t xml:space="preserve">, A., </w:t>
      </w:r>
      <w:proofErr w:type="spellStart"/>
      <w:r w:rsidRPr="002C7C96">
        <w:rPr>
          <w:bCs/>
          <w:color w:val="000000"/>
          <w:lang w:val="en-US"/>
        </w:rPr>
        <w:t>Parlett</w:t>
      </w:r>
      <w:proofErr w:type="spellEnd"/>
      <w:r w:rsidRPr="002C7C96">
        <w:rPr>
          <w:bCs/>
          <w:color w:val="000000"/>
          <w:lang w:val="en-US"/>
        </w:rPr>
        <w:t xml:space="preserve">, C.M.A., </w:t>
      </w:r>
      <w:proofErr w:type="spellStart"/>
      <w:r w:rsidRPr="002C7C96">
        <w:rPr>
          <w:bCs/>
          <w:color w:val="000000"/>
          <w:lang w:val="en-US"/>
        </w:rPr>
        <w:t>Kyriakou</w:t>
      </w:r>
      <w:proofErr w:type="spellEnd"/>
      <w:r w:rsidRPr="002C7C96">
        <w:rPr>
          <w:bCs/>
          <w:color w:val="000000"/>
          <w:lang w:val="en-US"/>
        </w:rPr>
        <w:t>, G., Lambert, R.M., Yentekakis, I.V., 2019. Oxidative thermal sintering and redispersion of Rh nanoparticles on supports with high oxygen ion lability, Catalysts 9 (2019) 541</w:t>
      </w:r>
      <w:r w:rsidR="00BA13EA" w:rsidRPr="002C7C96">
        <w:rPr>
          <w:bCs/>
          <w:color w:val="000000"/>
          <w:lang w:val="en-US"/>
        </w:rPr>
        <w:t xml:space="preserve">. </w:t>
      </w:r>
    </w:p>
    <w:p w14:paraId="1E6505AE" w14:textId="7AC5CDA9" w:rsidR="001957B5" w:rsidRPr="002C7C96" w:rsidRDefault="001957B5" w:rsidP="001957B5">
      <w:pPr>
        <w:pStyle w:val="S09PARAGRAFISUCESSIVI"/>
        <w:numPr>
          <w:ilvl w:val="0"/>
          <w:numId w:val="1"/>
        </w:numPr>
        <w:tabs>
          <w:tab w:val="left" w:pos="540"/>
        </w:tabs>
        <w:rPr>
          <w:rStyle w:val="-"/>
          <w:bCs/>
          <w:color w:val="000000"/>
          <w:u w:val="none"/>
          <w:lang w:val="en-US"/>
        </w:rPr>
      </w:pPr>
      <w:proofErr w:type="spellStart"/>
      <w:r w:rsidRPr="002C7C96">
        <w:rPr>
          <w:bCs/>
          <w:color w:val="000000"/>
          <w:lang w:val="en-US"/>
        </w:rPr>
        <w:t>Haron</w:t>
      </w:r>
      <w:proofErr w:type="spellEnd"/>
      <w:r w:rsidRPr="002C7C96">
        <w:rPr>
          <w:bCs/>
          <w:color w:val="000000"/>
          <w:lang w:val="en-US"/>
        </w:rPr>
        <w:t xml:space="preserve">, W., </w:t>
      </w:r>
      <w:proofErr w:type="spellStart"/>
      <w:r w:rsidRPr="002C7C96">
        <w:rPr>
          <w:bCs/>
          <w:color w:val="000000"/>
          <w:lang w:val="en-US"/>
        </w:rPr>
        <w:t>Wisitsoraat</w:t>
      </w:r>
      <w:proofErr w:type="spellEnd"/>
      <w:r w:rsidRPr="002C7C96">
        <w:rPr>
          <w:bCs/>
          <w:color w:val="000000"/>
          <w:lang w:val="en-US"/>
        </w:rPr>
        <w:t xml:space="preserve">, A., </w:t>
      </w:r>
      <w:proofErr w:type="spellStart"/>
      <w:r w:rsidRPr="002C7C96">
        <w:rPr>
          <w:bCs/>
          <w:color w:val="000000"/>
          <w:lang w:val="en-US"/>
        </w:rPr>
        <w:t>Wongnawa</w:t>
      </w:r>
      <w:proofErr w:type="spellEnd"/>
      <w:r w:rsidRPr="002C7C96">
        <w:rPr>
          <w:bCs/>
          <w:color w:val="000000"/>
          <w:lang w:val="en-US"/>
        </w:rPr>
        <w:t xml:space="preserve">, S., 2014. Comparison of </w:t>
      </w:r>
      <w:r w:rsidR="00BA13EA" w:rsidRPr="002C7C96">
        <w:rPr>
          <w:bCs/>
          <w:color w:val="000000"/>
          <w:lang w:val="en-US"/>
        </w:rPr>
        <w:t>n</w:t>
      </w:r>
      <w:r w:rsidRPr="002C7C96">
        <w:rPr>
          <w:bCs/>
          <w:color w:val="000000"/>
          <w:lang w:val="en-US"/>
        </w:rPr>
        <w:t>anocrystalline LaMO</w:t>
      </w:r>
      <w:r w:rsidRPr="002C7C96">
        <w:rPr>
          <w:bCs/>
          <w:color w:val="000000"/>
          <w:vertAlign w:val="subscript"/>
          <w:lang w:val="en-US"/>
        </w:rPr>
        <w:t>3</w:t>
      </w:r>
      <w:r w:rsidR="00BA13EA" w:rsidRPr="002C7C96">
        <w:rPr>
          <w:bCs/>
          <w:color w:val="000000"/>
          <w:lang w:val="en-US"/>
        </w:rPr>
        <w:t xml:space="preserve"> (M = Co, Al) perovskite oxide prepared by co-precipitation m</w:t>
      </w:r>
      <w:r w:rsidRPr="002C7C96">
        <w:rPr>
          <w:bCs/>
          <w:color w:val="000000"/>
          <w:lang w:val="en-US"/>
        </w:rPr>
        <w:t xml:space="preserve">ethod. Int. J. </w:t>
      </w:r>
      <w:r w:rsidR="00BA13EA" w:rsidRPr="002C7C96">
        <w:rPr>
          <w:bCs/>
          <w:color w:val="000000"/>
          <w:lang w:val="en-US"/>
        </w:rPr>
        <w:t>Chem. Eng. Appl. 5, 123-126.</w:t>
      </w:r>
    </w:p>
    <w:p w14:paraId="2FF65F59" w14:textId="1C0B9F82" w:rsidR="004D7C72" w:rsidRPr="002C7C96" w:rsidRDefault="004D7C72" w:rsidP="004D7C72">
      <w:pPr>
        <w:pStyle w:val="S09PARAGRAFISUCESSIVI"/>
        <w:numPr>
          <w:ilvl w:val="0"/>
          <w:numId w:val="1"/>
        </w:numPr>
        <w:tabs>
          <w:tab w:val="left" w:pos="540"/>
        </w:tabs>
        <w:rPr>
          <w:bCs/>
          <w:color w:val="000000"/>
          <w:lang w:val="en-US"/>
        </w:rPr>
      </w:pPr>
      <w:proofErr w:type="spellStart"/>
      <w:r w:rsidRPr="002C7C96">
        <w:rPr>
          <w:color w:val="000000"/>
          <w:lang w:val="en-US"/>
        </w:rPr>
        <w:t>Matsouka</w:t>
      </w:r>
      <w:proofErr w:type="spellEnd"/>
      <w:r w:rsidRPr="002C7C96">
        <w:rPr>
          <w:color w:val="000000"/>
          <w:lang w:val="en-US"/>
        </w:rPr>
        <w:t xml:space="preserve">, C., </w:t>
      </w:r>
      <w:proofErr w:type="spellStart"/>
      <w:r w:rsidRPr="002C7C96">
        <w:rPr>
          <w:color w:val="000000"/>
          <w:lang w:val="en-US"/>
        </w:rPr>
        <w:t>Zaspalis</w:t>
      </w:r>
      <w:proofErr w:type="spellEnd"/>
      <w:r w:rsidRPr="002C7C96">
        <w:rPr>
          <w:color w:val="000000"/>
          <w:lang w:val="en-US"/>
        </w:rPr>
        <w:t xml:space="preserve">, V., </w:t>
      </w:r>
      <w:r w:rsidRPr="002C7C96">
        <w:t xml:space="preserve">Nalbandian, L., 2018. Perovskites as oxygen carriers in chemical looping reforming process – Preparation of dense perovskite membranes and ionic conductivity measurement. Mater. Today: Proc. 5 27543–27552. </w:t>
      </w:r>
    </w:p>
    <w:p w14:paraId="3EDB7B16" w14:textId="2D06FB14" w:rsidR="001957B5" w:rsidRPr="002C7C96" w:rsidRDefault="001957B5" w:rsidP="001957B5">
      <w:pPr>
        <w:pStyle w:val="S09PARAGRAFISUCESSIVI"/>
        <w:numPr>
          <w:ilvl w:val="0"/>
          <w:numId w:val="1"/>
        </w:numPr>
        <w:rPr>
          <w:bCs/>
          <w:color w:val="000000"/>
          <w:lang w:val="en-US"/>
        </w:rPr>
      </w:pPr>
      <w:r w:rsidRPr="002C7C96">
        <w:rPr>
          <w:bCs/>
          <w:color w:val="000000"/>
          <w:lang w:val="en-US"/>
        </w:rPr>
        <w:t xml:space="preserve">Peña, M.A. &amp; </w:t>
      </w:r>
      <w:r w:rsidR="00BA13EA" w:rsidRPr="002C7C96">
        <w:rPr>
          <w:bCs/>
          <w:color w:val="000000"/>
          <w:lang w:val="en-US"/>
        </w:rPr>
        <w:t>Fierro, J.L.G., 2001. Chemical structures and performance of perovskite o</w:t>
      </w:r>
      <w:r w:rsidRPr="002C7C96">
        <w:rPr>
          <w:bCs/>
          <w:color w:val="000000"/>
          <w:lang w:val="en-US"/>
        </w:rPr>
        <w:t>xides. Chem. Rev., 101, 1981-2017.</w:t>
      </w:r>
      <w:r w:rsidR="00BA13EA" w:rsidRPr="002C7C96">
        <w:rPr>
          <w:bCs/>
          <w:color w:val="000000"/>
          <w:lang w:val="en-US"/>
        </w:rPr>
        <w:t xml:space="preserve"> </w:t>
      </w:r>
    </w:p>
    <w:p w14:paraId="050DDAD4" w14:textId="1010FE3C" w:rsidR="001957B5" w:rsidRPr="002C7C96" w:rsidRDefault="001957B5" w:rsidP="001957B5">
      <w:pPr>
        <w:pStyle w:val="S09PARAGRAFISUCESSIVI"/>
        <w:numPr>
          <w:ilvl w:val="0"/>
          <w:numId w:val="1"/>
        </w:numPr>
        <w:rPr>
          <w:bCs/>
          <w:color w:val="000000"/>
          <w:lang w:val="en-US"/>
        </w:rPr>
      </w:pPr>
      <w:r w:rsidRPr="002C7C96">
        <w:rPr>
          <w:bCs/>
          <w:color w:val="000000"/>
          <w:lang w:val="en-US"/>
        </w:rPr>
        <w:t xml:space="preserve">Royer, S., </w:t>
      </w:r>
      <w:proofErr w:type="spellStart"/>
      <w:r w:rsidRPr="002C7C96">
        <w:rPr>
          <w:bCs/>
          <w:color w:val="000000"/>
          <w:lang w:val="en-US"/>
        </w:rPr>
        <w:t>Duprez</w:t>
      </w:r>
      <w:proofErr w:type="spellEnd"/>
      <w:r w:rsidRPr="002C7C96">
        <w:rPr>
          <w:bCs/>
          <w:color w:val="000000"/>
          <w:lang w:val="en-US"/>
        </w:rPr>
        <w:t xml:space="preserve">, D., Can, F., Courtois, X., </w:t>
      </w:r>
      <w:proofErr w:type="spellStart"/>
      <w:r w:rsidRPr="002C7C96">
        <w:rPr>
          <w:bCs/>
          <w:color w:val="000000"/>
          <w:lang w:val="en-US"/>
        </w:rPr>
        <w:t>Batiot-Dupeyrat</w:t>
      </w:r>
      <w:proofErr w:type="spellEnd"/>
      <w:r w:rsidRPr="002C7C96">
        <w:rPr>
          <w:bCs/>
          <w:color w:val="000000"/>
          <w:lang w:val="en-US"/>
        </w:rPr>
        <w:t xml:space="preserve">, C., </w:t>
      </w:r>
      <w:proofErr w:type="spellStart"/>
      <w:r w:rsidRPr="002C7C96">
        <w:rPr>
          <w:bCs/>
          <w:color w:val="000000"/>
          <w:lang w:val="en-US"/>
        </w:rPr>
        <w:t>Laassiri</w:t>
      </w:r>
      <w:proofErr w:type="spellEnd"/>
      <w:r w:rsidRPr="002C7C96">
        <w:rPr>
          <w:bCs/>
          <w:color w:val="000000"/>
          <w:lang w:val="en-US"/>
        </w:rPr>
        <w:t xml:space="preserve">, S., </w:t>
      </w:r>
      <w:proofErr w:type="spellStart"/>
      <w:r w:rsidRPr="002C7C96">
        <w:rPr>
          <w:bCs/>
          <w:color w:val="000000"/>
          <w:lang w:val="en-US"/>
        </w:rPr>
        <w:t>Alam</w:t>
      </w:r>
      <w:r w:rsidR="00BA13EA" w:rsidRPr="002C7C96">
        <w:rPr>
          <w:bCs/>
          <w:color w:val="000000"/>
          <w:lang w:val="en-US"/>
        </w:rPr>
        <w:t>dari</w:t>
      </w:r>
      <w:proofErr w:type="spellEnd"/>
      <w:r w:rsidR="00BA13EA" w:rsidRPr="002C7C96">
        <w:rPr>
          <w:bCs/>
          <w:color w:val="000000"/>
          <w:lang w:val="en-US"/>
        </w:rPr>
        <w:t>, H., 2014. Perovskites as substitutes of noble metals for heterogeneous catalysis: Dream or r</w:t>
      </w:r>
      <w:r w:rsidRPr="002C7C96">
        <w:rPr>
          <w:bCs/>
          <w:color w:val="000000"/>
          <w:lang w:val="en-US"/>
        </w:rPr>
        <w:t>eality. Chem. Rev. 114, 10292-10368.</w:t>
      </w:r>
      <w:r w:rsidR="00BA13EA" w:rsidRPr="002C7C96">
        <w:rPr>
          <w:bCs/>
          <w:color w:val="000000"/>
          <w:lang w:val="en-US"/>
        </w:rPr>
        <w:t xml:space="preserve"> </w:t>
      </w:r>
    </w:p>
    <w:p w14:paraId="7F90B6B3" w14:textId="2FCC462E" w:rsidR="001957B5" w:rsidRPr="002C7C96" w:rsidRDefault="001957B5" w:rsidP="001957B5">
      <w:pPr>
        <w:pStyle w:val="S09PARAGRAFISUCESSIVI"/>
        <w:numPr>
          <w:ilvl w:val="0"/>
          <w:numId w:val="1"/>
        </w:numPr>
        <w:rPr>
          <w:bCs/>
          <w:color w:val="000000"/>
          <w:lang w:val="en-US"/>
        </w:rPr>
      </w:pPr>
      <w:r w:rsidRPr="002C7C96">
        <w:rPr>
          <w:bCs/>
          <w:color w:val="000000"/>
          <w:lang w:val="en-US"/>
        </w:rPr>
        <w:t>Soliman, N.K., 2019. Factors affecting CO oxidation reaction over nanosized materials: A review. J. Ma</w:t>
      </w:r>
      <w:r w:rsidR="00BA13EA" w:rsidRPr="002C7C96">
        <w:rPr>
          <w:bCs/>
          <w:color w:val="000000"/>
          <w:lang w:val="en-US"/>
        </w:rPr>
        <w:t>ter Res Technol., 2, 2395-2407.</w:t>
      </w:r>
    </w:p>
    <w:p w14:paraId="21E0F88A" w14:textId="4AAD2701" w:rsidR="00217636" w:rsidRPr="002C7C96" w:rsidRDefault="001957B5" w:rsidP="00217636">
      <w:pPr>
        <w:pStyle w:val="S09PARAGRAFISUCESSIVI"/>
        <w:numPr>
          <w:ilvl w:val="0"/>
          <w:numId w:val="1"/>
        </w:numPr>
        <w:rPr>
          <w:bCs/>
          <w:color w:val="000000"/>
          <w:lang w:val="en-US"/>
        </w:rPr>
      </w:pPr>
      <w:proofErr w:type="spellStart"/>
      <w:r w:rsidRPr="002C7C96">
        <w:rPr>
          <w:bCs/>
          <w:color w:val="000000"/>
          <w:lang w:val="en-US"/>
        </w:rPr>
        <w:t>Takalkar</w:t>
      </w:r>
      <w:proofErr w:type="spellEnd"/>
      <w:r w:rsidRPr="002C7C96">
        <w:rPr>
          <w:bCs/>
          <w:color w:val="000000"/>
          <w:lang w:val="en-US"/>
        </w:rPr>
        <w:t xml:space="preserve">, G., Bhosale, R.R., </w:t>
      </w:r>
      <w:proofErr w:type="spellStart"/>
      <w:r w:rsidRPr="002C7C96">
        <w:rPr>
          <w:bCs/>
          <w:color w:val="000000"/>
          <w:lang w:val="en-US"/>
        </w:rPr>
        <w:t>AlMomani</w:t>
      </w:r>
      <w:proofErr w:type="spellEnd"/>
      <w:r w:rsidRPr="002C7C96">
        <w:rPr>
          <w:bCs/>
          <w:color w:val="000000"/>
          <w:lang w:val="en-US"/>
        </w:rPr>
        <w:t xml:space="preserve">, F., Rashid, S., </w:t>
      </w:r>
      <w:proofErr w:type="spellStart"/>
      <w:r w:rsidRPr="002C7C96">
        <w:rPr>
          <w:bCs/>
          <w:color w:val="000000"/>
          <w:lang w:val="en-US"/>
        </w:rPr>
        <w:t>Qiblawey</w:t>
      </w:r>
      <w:proofErr w:type="spellEnd"/>
      <w:r w:rsidRPr="002C7C96">
        <w:rPr>
          <w:bCs/>
          <w:color w:val="000000"/>
          <w:lang w:val="en-US"/>
        </w:rPr>
        <w:t xml:space="preserve">, H., Saad, M. A. S., </w:t>
      </w:r>
      <w:proofErr w:type="spellStart"/>
      <w:r w:rsidRPr="002C7C96">
        <w:rPr>
          <w:bCs/>
          <w:color w:val="000000"/>
          <w:lang w:val="en-US"/>
        </w:rPr>
        <w:t>Khraisheh</w:t>
      </w:r>
      <w:proofErr w:type="spellEnd"/>
      <w:r w:rsidRPr="002C7C96">
        <w:rPr>
          <w:bCs/>
          <w:color w:val="000000"/>
          <w:lang w:val="en-US"/>
        </w:rPr>
        <w:t>, M., Kumar, G., Gupta, R.B., Shende, R. V., 2021. Thermochemical splitting of CO</w:t>
      </w:r>
      <w:r w:rsidRPr="002C7C96">
        <w:rPr>
          <w:bCs/>
          <w:color w:val="000000"/>
          <w:vertAlign w:val="subscript"/>
          <w:lang w:val="en-US"/>
        </w:rPr>
        <w:t>2</w:t>
      </w:r>
      <w:r w:rsidRPr="002C7C96">
        <w:rPr>
          <w:bCs/>
          <w:color w:val="000000"/>
          <w:lang w:val="en-US"/>
        </w:rPr>
        <w:t xml:space="preserve"> using combustion synthesized lanthanum-strontium-manganese perovskites. Fuel 285, 119154. </w:t>
      </w:r>
    </w:p>
    <w:p w14:paraId="1BE35A38" w14:textId="6FBE3876" w:rsidR="00217636" w:rsidRPr="002C7C96" w:rsidRDefault="00217636" w:rsidP="00217636">
      <w:pPr>
        <w:pStyle w:val="S09PARAGRAFISUCESSIVI"/>
        <w:numPr>
          <w:ilvl w:val="0"/>
          <w:numId w:val="1"/>
        </w:numPr>
        <w:rPr>
          <w:bCs/>
          <w:color w:val="000000"/>
          <w:lang w:val="en-US"/>
        </w:rPr>
      </w:pPr>
      <w:r w:rsidRPr="002C7C96">
        <w:rPr>
          <w:bCs/>
          <w:color w:val="000000"/>
          <w:lang w:val="it-IT"/>
        </w:rPr>
        <w:t xml:space="preserve">Yentekakis, I.V., Neophytides, S., Vayenas C.G., 1988, Solid electrolyte aided study of the mechanism of CO oxidation on polycrystalline platinum. J. Catal. 111, 152-169. </w:t>
      </w:r>
    </w:p>
    <w:p w14:paraId="38CB921B" w14:textId="7685136C" w:rsidR="00217636" w:rsidRPr="002C7C96" w:rsidRDefault="00217636" w:rsidP="00217636">
      <w:pPr>
        <w:pStyle w:val="S09PARAGRAFISUCESSIVI"/>
        <w:numPr>
          <w:ilvl w:val="0"/>
          <w:numId w:val="1"/>
        </w:numPr>
        <w:rPr>
          <w:bCs/>
          <w:color w:val="000000"/>
          <w:lang w:val="en-US"/>
        </w:rPr>
      </w:pPr>
      <w:r w:rsidRPr="002C7C96">
        <w:rPr>
          <w:bCs/>
          <w:color w:val="000000"/>
          <w:lang w:val="it-IT"/>
        </w:rPr>
        <w:t>Yentekakis, I.V., Vayenas, C.G., 1988. The effect of electrochemical oxygen pumping on the steady-state and oscillatory behavior of CO oxidation on polycrystalline Pt. J. Catal. 111, 170-188.</w:t>
      </w:r>
      <w:r w:rsidR="00BA13EA" w:rsidRPr="002C7C96">
        <w:rPr>
          <w:bCs/>
          <w:color w:val="000000"/>
          <w:lang w:val="en-US"/>
        </w:rPr>
        <w:t xml:space="preserve"> </w:t>
      </w:r>
    </w:p>
    <w:p w14:paraId="1F819D18" w14:textId="652340FD" w:rsidR="009B1BF0" w:rsidRPr="002C7C96" w:rsidRDefault="009B1BF0" w:rsidP="001957B5">
      <w:pPr>
        <w:pStyle w:val="S09PARAGRAFISUCESSIVI"/>
        <w:numPr>
          <w:ilvl w:val="0"/>
          <w:numId w:val="1"/>
        </w:numPr>
        <w:tabs>
          <w:tab w:val="left" w:pos="540"/>
        </w:tabs>
        <w:rPr>
          <w:bCs/>
          <w:color w:val="000000"/>
          <w:lang w:val="en-US"/>
        </w:rPr>
      </w:pPr>
      <w:r w:rsidRPr="002C7C96">
        <w:rPr>
          <w:bCs/>
          <w:color w:val="000000"/>
          <w:lang w:val="it-IT"/>
        </w:rPr>
        <w:t>Yentekakis, I.V., Goula, G., Panagiotopoulou, P., Katsoni, A., Diamadopoulos, E., Mantzavinos, D., Delimitis, A., 2015. Dry reforming of methane: catalytic performance and stability of Ir catalysts supported on γ-Al</w:t>
      </w:r>
      <w:r w:rsidRPr="002C7C96">
        <w:rPr>
          <w:bCs/>
          <w:color w:val="000000"/>
          <w:vertAlign w:val="subscript"/>
          <w:lang w:val="it-IT"/>
        </w:rPr>
        <w:t>2</w:t>
      </w:r>
      <w:r w:rsidRPr="002C7C96">
        <w:rPr>
          <w:bCs/>
          <w:color w:val="000000"/>
          <w:lang w:val="it-IT"/>
        </w:rPr>
        <w:t>O</w:t>
      </w:r>
      <w:r w:rsidRPr="002C7C96">
        <w:rPr>
          <w:bCs/>
          <w:color w:val="000000"/>
          <w:vertAlign w:val="subscript"/>
          <w:lang w:val="it-IT"/>
        </w:rPr>
        <w:t>3</w:t>
      </w:r>
      <w:r w:rsidRPr="002C7C96">
        <w:rPr>
          <w:bCs/>
          <w:color w:val="000000"/>
          <w:lang w:val="it-IT"/>
        </w:rPr>
        <w:t>, Zr</w:t>
      </w:r>
      <w:r w:rsidRPr="002C7C96">
        <w:rPr>
          <w:bCs/>
          <w:color w:val="000000"/>
          <w:vertAlign w:val="subscript"/>
          <w:lang w:val="it-IT"/>
        </w:rPr>
        <w:t>0.92</w:t>
      </w:r>
      <w:r w:rsidRPr="002C7C96">
        <w:rPr>
          <w:bCs/>
          <w:color w:val="000000"/>
          <w:lang w:val="it-IT"/>
        </w:rPr>
        <w:t>Y</w:t>
      </w:r>
      <w:r w:rsidRPr="002C7C96">
        <w:rPr>
          <w:bCs/>
          <w:color w:val="000000"/>
          <w:vertAlign w:val="subscript"/>
          <w:lang w:val="it-IT"/>
        </w:rPr>
        <w:t>0.08</w:t>
      </w:r>
      <w:r w:rsidRPr="002C7C96">
        <w:rPr>
          <w:bCs/>
          <w:color w:val="000000"/>
          <w:lang w:val="it-IT"/>
        </w:rPr>
        <w:t>O</w:t>
      </w:r>
      <w:r w:rsidRPr="002C7C96">
        <w:rPr>
          <w:bCs/>
          <w:color w:val="000000"/>
          <w:vertAlign w:val="subscript"/>
          <w:lang w:val="it-IT"/>
        </w:rPr>
        <w:t>2−δ</w:t>
      </w:r>
      <w:r w:rsidRPr="002C7C96">
        <w:rPr>
          <w:bCs/>
          <w:color w:val="000000"/>
          <w:lang w:val="it-IT"/>
        </w:rPr>
        <w:t> (YSZ) or Ce</w:t>
      </w:r>
      <w:r w:rsidRPr="002C7C96">
        <w:rPr>
          <w:bCs/>
          <w:color w:val="000000"/>
          <w:vertAlign w:val="subscript"/>
          <w:lang w:val="it-IT"/>
        </w:rPr>
        <w:t>0.9</w:t>
      </w:r>
      <w:r w:rsidRPr="002C7C96">
        <w:rPr>
          <w:bCs/>
          <w:color w:val="000000"/>
          <w:lang w:val="it-IT"/>
        </w:rPr>
        <w:t>Gd</w:t>
      </w:r>
      <w:r w:rsidRPr="002C7C96">
        <w:rPr>
          <w:bCs/>
          <w:color w:val="000000"/>
          <w:vertAlign w:val="subscript"/>
          <w:lang w:val="it-IT"/>
        </w:rPr>
        <w:t>0.1</w:t>
      </w:r>
      <w:r w:rsidRPr="002C7C96">
        <w:rPr>
          <w:bCs/>
          <w:color w:val="000000"/>
          <w:lang w:val="it-IT"/>
        </w:rPr>
        <w:t>O</w:t>
      </w:r>
      <w:r w:rsidRPr="002C7C96">
        <w:rPr>
          <w:bCs/>
          <w:color w:val="000000"/>
          <w:vertAlign w:val="subscript"/>
          <w:lang w:val="it-IT"/>
        </w:rPr>
        <w:t>2−δ</w:t>
      </w:r>
      <w:r w:rsidRPr="002C7C96">
        <w:rPr>
          <w:bCs/>
          <w:color w:val="000000"/>
          <w:lang w:val="it-IT"/>
        </w:rPr>
        <w:t> (GDC) supports. </w:t>
      </w:r>
      <w:r w:rsidRPr="002C7C96">
        <w:rPr>
          <w:bCs/>
          <w:i/>
          <w:iCs/>
          <w:color w:val="000000"/>
          <w:lang w:val="it-IT"/>
        </w:rPr>
        <w:t>Top. Catal.</w:t>
      </w:r>
      <w:r w:rsidRPr="002C7C96">
        <w:rPr>
          <w:bCs/>
          <w:color w:val="000000"/>
          <w:lang w:val="it-IT"/>
        </w:rPr>
        <w:t> </w:t>
      </w:r>
      <w:r w:rsidRPr="002C7C96">
        <w:rPr>
          <w:bCs/>
          <w:iCs/>
          <w:color w:val="000000"/>
          <w:lang w:val="it-IT"/>
        </w:rPr>
        <w:t>58</w:t>
      </w:r>
      <w:r w:rsidRPr="002C7C96">
        <w:rPr>
          <w:bCs/>
          <w:color w:val="000000"/>
          <w:lang w:val="it-IT"/>
        </w:rPr>
        <w:t>, 1228–1241.</w:t>
      </w:r>
    </w:p>
    <w:p w14:paraId="21B57AEC" w14:textId="6A470773" w:rsidR="00DF672A" w:rsidRPr="002C7C96" w:rsidRDefault="00CA03A5" w:rsidP="00DF672A">
      <w:pPr>
        <w:pStyle w:val="S09PARAGRAFISUCESSIVI"/>
        <w:numPr>
          <w:ilvl w:val="0"/>
          <w:numId w:val="1"/>
        </w:numPr>
        <w:tabs>
          <w:tab w:val="left" w:pos="540"/>
        </w:tabs>
        <w:rPr>
          <w:bCs/>
          <w:color w:val="000000"/>
          <w:lang w:val="en-US"/>
        </w:rPr>
      </w:pPr>
      <w:r w:rsidRPr="002C7C96">
        <w:rPr>
          <w:bCs/>
          <w:color w:val="000000"/>
          <w:lang w:val="en-US"/>
        </w:rPr>
        <w:t>Yentekakis,</w:t>
      </w:r>
      <w:r w:rsidR="00DF672A" w:rsidRPr="002C7C96">
        <w:rPr>
          <w:bCs/>
          <w:color w:val="000000"/>
          <w:lang w:val="en-US"/>
        </w:rPr>
        <w:t xml:space="preserve"> I.V., </w:t>
      </w:r>
      <w:r w:rsidRPr="002C7C96">
        <w:rPr>
          <w:bCs/>
          <w:color w:val="000000"/>
          <w:lang w:val="en-US"/>
        </w:rPr>
        <w:t>Goula,</w:t>
      </w:r>
      <w:r w:rsidR="00DF672A" w:rsidRPr="002C7C96">
        <w:rPr>
          <w:bCs/>
          <w:color w:val="000000"/>
          <w:lang w:val="en-US"/>
        </w:rPr>
        <w:t xml:space="preserve"> G.,</w:t>
      </w:r>
      <w:r w:rsidRPr="002C7C96">
        <w:rPr>
          <w:bCs/>
          <w:color w:val="000000"/>
          <w:lang w:val="en-US"/>
        </w:rPr>
        <w:t xml:space="preserve"> Panagiotopoulou,</w:t>
      </w:r>
      <w:r w:rsidR="00DF672A" w:rsidRPr="002C7C96">
        <w:rPr>
          <w:bCs/>
          <w:color w:val="000000"/>
          <w:lang w:val="en-US"/>
        </w:rPr>
        <w:t xml:space="preserve"> P.,</w:t>
      </w:r>
      <w:r w:rsidRPr="002C7C96">
        <w:rPr>
          <w:bCs/>
          <w:color w:val="000000"/>
          <w:lang w:val="en-US"/>
        </w:rPr>
        <w:t xml:space="preserve"> Kampouri,</w:t>
      </w:r>
      <w:r w:rsidR="00DF672A" w:rsidRPr="002C7C96">
        <w:rPr>
          <w:bCs/>
          <w:color w:val="000000"/>
          <w:lang w:val="en-US"/>
        </w:rPr>
        <w:t xml:space="preserve"> S.,</w:t>
      </w:r>
      <w:r w:rsidRPr="002C7C96">
        <w:rPr>
          <w:bCs/>
          <w:color w:val="000000"/>
          <w:lang w:val="en-US"/>
        </w:rPr>
        <w:t xml:space="preserve"> Taylor,</w:t>
      </w:r>
      <w:r w:rsidR="00DF672A" w:rsidRPr="002C7C96">
        <w:rPr>
          <w:bCs/>
          <w:color w:val="000000"/>
          <w:lang w:val="en-US"/>
        </w:rPr>
        <w:t xml:space="preserve"> M.J.,</w:t>
      </w:r>
      <w:r w:rsidRPr="002C7C96">
        <w:rPr>
          <w:bCs/>
          <w:color w:val="000000"/>
          <w:lang w:val="en-US"/>
        </w:rPr>
        <w:t xml:space="preserve"> Kyriakou,</w:t>
      </w:r>
      <w:r w:rsidR="00DF672A" w:rsidRPr="002C7C96">
        <w:rPr>
          <w:bCs/>
          <w:color w:val="000000"/>
          <w:lang w:val="en-US"/>
        </w:rPr>
        <w:t xml:space="preserve"> G.,</w:t>
      </w:r>
      <w:r w:rsidRPr="002C7C96">
        <w:rPr>
          <w:bCs/>
          <w:color w:val="000000"/>
          <w:lang w:val="en-US"/>
        </w:rPr>
        <w:t xml:space="preserve"> Lambert,</w:t>
      </w:r>
      <w:r w:rsidR="00DF672A" w:rsidRPr="002C7C96">
        <w:rPr>
          <w:bCs/>
          <w:color w:val="000000"/>
          <w:lang w:val="en-US"/>
        </w:rPr>
        <w:t xml:space="preserve"> R.M., 2016.</w:t>
      </w:r>
      <w:r w:rsidRPr="002C7C96">
        <w:rPr>
          <w:bCs/>
          <w:color w:val="000000"/>
          <w:lang w:val="en-US"/>
        </w:rPr>
        <w:t xml:space="preserve"> Stabilization of catalyst particles against sintering on oxide supports with high oxygen ion lability exemplified by </w:t>
      </w:r>
      <w:proofErr w:type="spellStart"/>
      <w:r w:rsidRPr="002C7C96">
        <w:rPr>
          <w:bCs/>
          <w:color w:val="000000"/>
          <w:lang w:val="en-US"/>
        </w:rPr>
        <w:t>Ir-catalysed</w:t>
      </w:r>
      <w:proofErr w:type="spellEnd"/>
      <w:r w:rsidRPr="002C7C96">
        <w:rPr>
          <w:bCs/>
          <w:color w:val="000000"/>
          <w:lang w:val="en-US"/>
        </w:rPr>
        <w:t xml:space="preserve"> decomposition of N</w:t>
      </w:r>
      <w:r w:rsidRPr="002C7C96">
        <w:rPr>
          <w:bCs/>
          <w:color w:val="000000"/>
          <w:vertAlign w:val="subscript"/>
          <w:lang w:val="en-US"/>
        </w:rPr>
        <w:t>2</w:t>
      </w:r>
      <w:r w:rsidR="00DF672A" w:rsidRPr="002C7C96">
        <w:rPr>
          <w:bCs/>
          <w:color w:val="000000"/>
          <w:lang w:val="en-US"/>
        </w:rPr>
        <w:t xml:space="preserve">O, Appl. </w:t>
      </w:r>
      <w:proofErr w:type="spellStart"/>
      <w:r w:rsidR="00DF672A" w:rsidRPr="002C7C96">
        <w:rPr>
          <w:bCs/>
          <w:color w:val="000000"/>
          <w:lang w:val="en-US"/>
        </w:rPr>
        <w:t>Catal</w:t>
      </w:r>
      <w:proofErr w:type="spellEnd"/>
      <w:r w:rsidR="00DF672A" w:rsidRPr="002C7C96">
        <w:rPr>
          <w:bCs/>
          <w:color w:val="000000"/>
          <w:lang w:val="en-US"/>
        </w:rPr>
        <w:t xml:space="preserve">. B- Environ. 192, 357–364. </w:t>
      </w:r>
    </w:p>
    <w:p w14:paraId="1B622B3A" w14:textId="613C6698" w:rsidR="009274B3" w:rsidRPr="002C7C96" w:rsidRDefault="009274B3" w:rsidP="00BA13EA">
      <w:pPr>
        <w:pStyle w:val="S09PARAGRAFISUCESSIVI"/>
        <w:numPr>
          <w:ilvl w:val="0"/>
          <w:numId w:val="1"/>
        </w:numPr>
        <w:tabs>
          <w:tab w:val="left" w:pos="540"/>
        </w:tabs>
        <w:rPr>
          <w:bCs/>
          <w:color w:val="000000"/>
          <w:lang w:val="en-US"/>
        </w:rPr>
      </w:pPr>
      <w:r w:rsidRPr="002C7C96">
        <w:rPr>
          <w:bCs/>
          <w:color w:val="000000"/>
          <w:lang w:val="it-IT"/>
        </w:rPr>
        <w:t>Yentekakis I.V., Konsolakis M., 2016. Three-way Catalysis (Book Chapter). In </w:t>
      </w:r>
      <w:r w:rsidRPr="002C7C96">
        <w:rPr>
          <w:bCs/>
          <w:i/>
          <w:iCs/>
          <w:color w:val="000000"/>
          <w:lang w:val="it-IT"/>
        </w:rPr>
        <w:t>Perovskites and Related Mixed Oxides: Concepts and Applications</w:t>
      </w:r>
      <w:r w:rsidRPr="002C7C96">
        <w:rPr>
          <w:bCs/>
          <w:color w:val="000000"/>
          <w:lang w:val="it-IT"/>
        </w:rPr>
        <w:t>. Wiley-VCH, Vergal GmbH &amp; Co. KGaA: Weinheim, Germany; pp. 559–586.</w:t>
      </w:r>
    </w:p>
    <w:p w14:paraId="30B1E74C" w14:textId="428E7C7D" w:rsidR="00217636" w:rsidRPr="002C7C96" w:rsidRDefault="00821405" w:rsidP="00217636">
      <w:pPr>
        <w:pStyle w:val="S09PARAGRAFISUCESSIVI"/>
        <w:numPr>
          <w:ilvl w:val="0"/>
          <w:numId w:val="1"/>
        </w:numPr>
        <w:tabs>
          <w:tab w:val="left" w:pos="540"/>
        </w:tabs>
        <w:rPr>
          <w:bCs/>
          <w:color w:val="000000"/>
          <w:lang w:val="en-US"/>
        </w:rPr>
      </w:pPr>
      <w:r w:rsidRPr="002C7C96">
        <w:rPr>
          <w:bCs/>
          <w:color w:val="000000"/>
          <w:lang w:val="it-IT"/>
        </w:rPr>
        <w:t>Yentekakis, I.V., Goula, G., Kampouri, S., Betsi-Argyropoulou, I., Panagiotopoulou, P., Taylor, M.J., Kyriakou, G., Lambert, R.M., 2018. Ir-catalyzed nitrous oxide (N</w:t>
      </w:r>
      <w:r w:rsidRPr="002C7C96">
        <w:rPr>
          <w:bCs/>
          <w:color w:val="000000"/>
          <w:vertAlign w:val="subscript"/>
          <w:lang w:val="it-IT"/>
        </w:rPr>
        <w:t>2</w:t>
      </w:r>
      <w:r w:rsidRPr="002C7C96">
        <w:rPr>
          <w:bCs/>
          <w:color w:val="000000"/>
          <w:lang w:val="it-IT"/>
        </w:rPr>
        <w:t>O) decomposition: Effect of the Ir particle size and metal-support interactions. </w:t>
      </w:r>
      <w:r w:rsidRPr="002C7C96">
        <w:rPr>
          <w:bCs/>
          <w:iCs/>
          <w:color w:val="000000"/>
          <w:lang w:val="it-IT"/>
        </w:rPr>
        <w:t>Catal. Lett.</w:t>
      </w:r>
      <w:r w:rsidRPr="002C7C96">
        <w:rPr>
          <w:bCs/>
          <w:i/>
          <w:iCs/>
          <w:color w:val="000000"/>
          <w:lang w:val="it-IT"/>
        </w:rPr>
        <w:t xml:space="preserve"> </w:t>
      </w:r>
      <w:r w:rsidRPr="002C7C96">
        <w:rPr>
          <w:bCs/>
          <w:iCs/>
          <w:color w:val="000000"/>
          <w:lang w:val="it-IT"/>
        </w:rPr>
        <w:t>148</w:t>
      </w:r>
      <w:r w:rsidR="00BA13EA" w:rsidRPr="002C7C96">
        <w:rPr>
          <w:bCs/>
          <w:color w:val="000000"/>
          <w:lang w:val="it-IT"/>
        </w:rPr>
        <w:t>, 341–347.</w:t>
      </w:r>
      <w:r w:rsidR="00217636" w:rsidRPr="002C7C96">
        <w:rPr>
          <w:bCs/>
          <w:color w:val="000000"/>
          <w:lang w:val="en-US"/>
        </w:rPr>
        <w:t xml:space="preserve"> </w:t>
      </w:r>
    </w:p>
    <w:p w14:paraId="35495D6E" w14:textId="1C442F7F" w:rsidR="00217636" w:rsidRPr="002C7C96" w:rsidRDefault="00217636" w:rsidP="00217636">
      <w:pPr>
        <w:pStyle w:val="S09PARAGRAFISUCESSIVI"/>
        <w:numPr>
          <w:ilvl w:val="0"/>
          <w:numId w:val="1"/>
        </w:numPr>
        <w:tabs>
          <w:tab w:val="left" w:pos="540"/>
        </w:tabs>
        <w:rPr>
          <w:bCs/>
          <w:color w:val="000000"/>
          <w:lang w:val="en-US"/>
        </w:rPr>
      </w:pPr>
      <w:r w:rsidRPr="002C7C96">
        <w:rPr>
          <w:bCs/>
          <w:color w:val="000000"/>
          <w:lang w:val="en-US"/>
        </w:rPr>
        <w:t>Yentekakis, I.V., Dong, F., 2020. Grand challenges for </w:t>
      </w:r>
      <w:r w:rsidRPr="002C7C96">
        <w:rPr>
          <w:bCs/>
          <w:i/>
          <w:iCs/>
          <w:color w:val="000000"/>
          <w:lang w:val="en-US"/>
        </w:rPr>
        <w:t>catalytic remediation</w:t>
      </w:r>
      <w:r w:rsidRPr="002C7C96">
        <w:rPr>
          <w:bCs/>
          <w:color w:val="000000"/>
          <w:lang w:val="en-US"/>
        </w:rPr>
        <w:t> in environmental and energy applications toward a cleaner and sustainable future. Front. Environ. Chem. 1, 5.</w:t>
      </w:r>
    </w:p>
    <w:p w14:paraId="17D8242A" w14:textId="4105217F" w:rsidR="00821405" w:rsidRPr="00965A16" w:rsidRDefault="00821405" w:rsidP="00DF672A">
      <w:pPr>
        <w:pStyle w:val="S09PARAGRAFISUCESSIVI"/>
        <w:numPr>
          <w:ilvl w:val="0"/>
          <w:numId w:val="1"/>
        </w:numPr>
        <w:tabs>
          <w:tab w:val="left" w:pos="540"/>
        </w:tabs>
        <w:rPr>
          <w:bCs/>
          <w:color w:val="000000"/>
          <w:lang w:val="en-US"/>
        </w:rPr>
      </w:pPr>
    </w:p>
    <w:sectPr w:rsidR="00821405" w:rsidRPr="00965A16" w:rsidSect="00122730">
      <w:footerReference w:type="default" r:id="rId15"/>
      <w:footerReference w:type="first" r:id="rId16"/>
      <w:pgSz w:w="11906" w:h="16838" w:code="9"/>
      <w:pgMar w:top="1418" w:right="1134" w:bottom="1701" w:left="1134" w:header="141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2168" w14:textId="77777777" w:rsidR="007615B0" w:rsidRDefault="007615B0">
      <w:r>
        <w:separator/>
      </w:r>
    </w:p>
  </w:endnote>
  <w:endnote w:type="continuationSeparator" w:id="0">
    <w:p w14:paraId="499D8879" w14:textId="77777777" w:rsidR="007615B0" w:rsidRDefault="0076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Liberation Sans">
    <w:altName w:val="Yu Gothic"/>
    <w:charset w:val="80"/>
    <w:family w:val="swiss"/>
    <w:pitch w:val="variable"/>
  </w:font>
  <w:font w:name="Bitstream Vera Sans">
    <w:altName w:val="Yu Gothic"/>
    <w:charset w:val="80"/>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CC1F" w14:textId="77777777" w:rsidR="00D72635" w:rsidRDefault="00D72635" w:rsidP="00FA57D5">
    <w:pPr>
      <w:pStyle w:val="a5"/>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8685" w14:textId="77777777" w:rsidR="00D72635" w:rsidRPr="00C31C1E" w:rsidRDefault="00D72635" w:rsidP="00C31C1E">
    <w:pPr>
      <w:pStyle w:val="a5"/>
    </w:pPr>
    <w:r>
      <w:rPr>
        <w:noProof/>
        <w:lang w:val="en-US" w:eastAsia="en-US"/>
      </w:rPr>
      <w:drawing>
        <wp:inline distT="0" distB="0" distL="0" distR="0" wp14:anchorId="51186F50" wp14:editId="31733C69">
          <wp:extent cx="5725160" cy="826770"/>
          <wp:effectExtent l="0" t="0" r="8890" b="0"/>
          <wp:docPr id="1" name="Picture 1" descr="crete2016_sm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te2016_smal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8267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F15B" w14:textId="77777777" w:rsidR="007615B0" w:rsidRDefault="007615B0">
      <w:r>
        <w:separator/>
      </w:r>
    </w:p>
  </w:footnote>
  <w:footnote w:type="continuationSeparator" w:id="0">
    <w:p w14:paraId="187CB59A" w14:textId="77777777" w:rsidR="007615B0" w:rsidRDefault="00761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AAE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pStyle w:val="List1"/>
      <w:lvlText w:val=""/>
      <w:lvlJc w:val="left"/>
      <w:pPr>
        <w:tabs>
          <w:tab w:val="num" w:pos="284"/>
        </w:tabs>
        <w:ind w:left="284" w:hanging="284"/>
      </w:pPr>
      <w:rPr>
        <w:rFonts w:ascii="Wingdings" w:hAnsi="Wingdings"/>
        <w:sz w:val="20"/>
        <w:szCs w:val="20"/>
      </w:rPr>
    </w:lvl>
  </w:abstractNum>
  <w:abstractNum w:abstractNumId="3" w15:restartNumberingAfterBreak="0">
    <w:nsid w:val="150B7304"/>
    <w:multiLevelType w:val="hybridMultilevel"/>
    <w:tmpl w:val="84509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996AC7"/>
    <w:multiLevelType w:val="hybridMultilevel"/>
    <w:tmpl w:val="3EB4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C74A9"/>
    <w:multiLevelType w:val="hybridMultilevel"/>
    <w:tmpl w:val="B6B487B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sDAyNbQ0MjU1MDVQ0lEKTi0uzszPAykwNK4FALeyyw8tAAAA"/>
  </w:docVars>
  <w:rsids>
    <w:rsidRoot w:val="006116E6"/>
    <w:rsid w:val="00000944"/>
    <w:rsid w:val="00001678"/>
    <w:rsid w:val="00002819"/>
    <w:rsid w:val="000030E5"/>
    <w:rsid w:val="00003FAA"/>
    <w:rsid w:val="00010EBC"/>
    <w:rsid w:val="000275C9"/>
    <w:rsid w:val="00027D79"/>
    <w:rsid w:val="0003027A"/>
    <w:rsid w:val="00031195"/>
    <w:rsid w:val="00034CEF"/>
    <w:rsid w:val="00036185"/>
    <w:rsid w:val="000367A3"/>
    <w:rsid w:val="00036BFD"/>
    <w:rsid w:val="00042318"/>
    <w:rsid w:val="00043A40"/>
    <w:rsid w:val="00047160"/>
    <w:rsid w:val="00050B41"/>
    <w:rsid w:val="00062871"/>
    <w:rsid w:val="000629C6"/>
    <w:rsid w:val="00064DED"/>
    <w:rsid w:val="00071906"/>
    <w:rsid w:val="00074503"/>
    <w:rsid w:val="00084BEC"/>
    <w:rsid w:val="0009196C"/>
    <w:rsid w:val="000A7AF0"/>
    <w:rsid w:val="000B2342"/>
    <w:rsid w:val="000B294E"/>
    <w:rsid w:val="000C02E0"/>
    <w:rsid w:val="000C5AF4"/>
    <w:rsid w:val="000D127A"/>
    <w:rsid w:val="000D489A"/>
    <w:rsid w:val="000D67A2"/>
    <w:rsid w:val="000D791B"/>
    <w:rsid w:val="00100DF3"/>
    <w:rsid w:val="00101DB1"/>
    <w:rsid w:val="00103665"/>
    <w:rsid w:val="00110243"/>
    <w:rsid w:val="001122AC"/>
    <w:rsid w:val="001172C6"/>
    <w:rsid w:val="00121CBA"/>
    <w:rsid w:val="00122730"/>
    <w:rsid w:val="00131388"/>
    <w:rsid w:val="0013718F"/>
    <w:rsid w:val="0013764B"/>
    <w:rsid w:val="001435FB"/>
    <w:rsid w:val="001440D5"/>
    <w:rsid w:val="00152C60"/>
    <w:rsid w:val="00154401"/>
    <w:rsid w:val="001554A1"/>
    <w:rsid w:val="001602F2"/>
    <w:rsid w:val="00160A3C"/>
    <w:rsid w:val="00165C8D"/>
    <w:rsid w:val="00166CE1"/>
    <w:rsid w:val="0016777C"/>
    <w:rsid w:val="00170CD5"/>
    <w:rsid w:val="001713BF"/>
    <w:rsid w:val="00193AB2"/>
    <w:rsid w:val="0019471D"/>
    <w:rsid w:val="001957B5"/>
    <w:rsid w:val="001A4B1E"/>
    <w:rsid w:val="001B6C7C"/>
    <w:rsid w:val="001C11E5"/>
    <w:rsid w:val="001C4870"/>
    <w:rsid w:val="001C4952"/>
    <w:rsid w:val="001C7EE1"/>
    <w:rsid w:val="001D66AB"/>
    <w:rsid w:val="001D7DE1"/>
    <w:rsid w:val="001F36C2"/>
    <w:rsid w:val="00210CE7"/>
    <w:rsid w:val="0021222F"/>
    <w:rsid w:val="00213207"/>
    <w:rsid w:val="00217636"/>
    <w:rsid w:val="00222103"/>
    <w:rsid w:val="0022623D"/>
    <w:rsid w:val="002266C6"/>
    <w:rsid w:val="00227025"/>
    <w:rsid w:val="00230DFF"/>
    <w:rsid w:val="0023119C"/>
    <w:rsid w:val="002352AE"/>
    <w:rsid w:val="00236D94"/>
    <w:rsid w:val="00263603"/>
    <w:rsid w:val="00265696"/>
    <w:rsid w:val="0026757D"/>
    <w:rsid w:val="00271F08"/>
    <w:rsid w:val="00277680"/>
    <w:rsid w:val="00277DF5"/>
    <w:rsid w:val="00285DE5"/>
    <w:rsid w:val="0029276A"/>
    <w:rsid w:val="002936E7"/>
    <w:rsid w:val="002A2248"/>
    <w:rsid w:val="002B2E46"/>
    <w:rsid w:val="002B45CF"/>
    <w:rsid w:val="002B6800"/>
    <w:rsid w:val="002B7F26"/>
    <w:rsid w:val="002C0581"/>
    <w:rsid w:val="002C5154"/>
    <w:rsid w:val="002C7C96"/>
    <w:rsid w:val="002D0772"/>
    <w:rsid w:val="002D0937"/>
    <w:rsid w:val="002D1008"/>
    <w:rsid w:val="002D3AFE"/>
    <w:rsid w:val="002D4327"/>
    <w:rsid w:val="002D7B29"/>
    <w:rsid w:val="002D7D83"/>
    <w:rsid w:val="002E01DD"/>
    <w:rsid w:val="002E1E32"/>
    <w:rsid w:val="002E5979"/>
    <w:rsid w:val="002E7E1F"/>
    <w:rsid w:val="002F0E80"/>
    <w:rsid w:val="0030184E"/>
    <w:rsid w:val="00301DD7"/>
    <w:rsid w:val="00305D37"/>
    <w:rsid w:val="003146DA"/>
    <w:rsid w:val="00315D52"/>
    <w:rsid w:val="003162BA"/>
    <w:rsid w:val="00320180"/>
    <w:rsid w:val="0032685B"/>
    <w:rsid w:val="0032782E"/>
    <w:rsid w:val="00332C34"/>
    <w:rsid w:val="00332EB1"/>
    <w:rsid w:val="00335771"/>
    <w:rsid w:val="0033654C"/>
    <w:rsid w:val="00341BF8"/>
    <w:rsid w:val="003514B0"/>
    <w:rsid w:val="003539A8"/>
    <w:rsid w:val="00360B79"/>
    <w:rsid w:val="0036129C"/>
    <w:rsid w:val="00363A48"/>
    <w:rsid w:val="00370E65"/>
    <w:rsid w:val="00371F71"/>
    <w:rsid w:val="00372472"/>
    <w:rsid w:val="00373281"/>
    <w:rsid w:val="003752FB"/>
    <w:rsid w:val="00380529"/>
    <w:rsid w:val="003833CB"/>
    <w:rsid w:val="00392436"/>
    <w:rsid w:val="003933B7"/>
    <w:rsid w:val="00394211"/>
    <w:rsid w:val="003974E0"/>
    <w:rsid w:val="003A234B"/>
    <w:rsid w:val="003A40A6"/>
    <w:rsid w:val="003A6299"/>
    <w:rsid w:val="003B0A0B"/>
    <w:rsid w:val="003B1E4F"/>
    <w:rsid w:val="003B5FBD"/>
    <w:rsid w:val="003C15A6"/>
    <w:rsid w:val="003C4FDE"/>
    <w:rsid w:val="003C5101"/>
    <w:rsid w:val="003C61C9"/>
    <w:rsid w:val="003C753A"/>
    <w:rsid w:val="003D3588"/>
    <w:rsid w:val="003E16A4"/>
    <w:rsid w:val="003E59FA"/>
    <w:rsid w:val="003E6ABA"/>
    <w:rsid w:val="003E6D24"/>
    <w:rsid w:val="003F0F17"/>
    <w:rsid w:val="003F25ED"/>
    <w:rsid w:val="00402233"/>
    <w:rsid w:val="00410188"/>
    <w:rsid w:val="0041155B"/>
    <w:rsid w:val="00411B88"/>
    <w:rsid w:val="00413ACA"/>
    <w:rsid w:val="00416DD8"/>
    <w:rsid w:val="004174F5"/>
    <w:rsid w:val="00417880"/>
    <w:rsid w:val="00420A5C"/>
    <w:rsid w:val="00421887"/>
    <w:rsid w:val="0043471A"/>
    <w:rsid w:val="00434FFC"/>
    <w:rsid w:val="004352AB"/>
    <w:rsid w:val="00436427"/>
    <w:rsid w:val="004437F6"/>
    <w:rsid w:val="00451FBE"/>
    <w:rsid w:val="00453F5E"/>
    <w:rsid w:val="004617D7"/>
    <w:rsid w:val="0046319B"/>
    <w:rsid w:val="004659C7"/>
    <w:rsid w:val="0046738D"/>
    <w:rsid w:val="004773BE"/>
    <w:rsid w:val="004911E8"/>
    <w:rsid w:val="004928BA"/>
    <w:rsid w:val="00495163"/>
    <w:rsid w:val="004956F5"/>
    <w:rsid w:val="00496572"/>
    <w:rsid w:val="004A59D0"/>
    <w:rsid w:val="004A5E1C"/>
    <w:rsid w:val="004A6B9F"/>
    <w:rsid w:val="004C5A4E"/>
    <w:rsid w:val="004C7777"/>
    <w:rsid w:val="004D06F3"/>
    <w:rsid w:val="004D4950"/>
    <w:rsid w:val="004D7C72"/>
    <w:rsid w:val="004E2D11"/>
    <w:rsid w:val="004E4DA6"/>
    <w:rsid w:val="004E7558"/>
    <w:rsid w:val="004F0345"/>
    <w:rsid w:val="004F038B"/>
    <w:rsid w:val="004F3061"/>
    <w:rsid w:val="00500C78"/>
    <w:rsid w:val="005028C4"/>
    <w:rsid w:val="00502D76"/>
    <w:rsid w:val="00503758"/>
    <w:rsid w:val="00503F8F"/>
    <w:rsid w:val="00507D28"/>
    <w:rsid w:val="00513AB6"/>
    <w:rsid w:val="00523562"/>
    <w:rsid w:val="0052532E"/>
    <w:rsid w:val="00530FDD"/>
    <w:rsid w:val="0053726E"/>
    <w:rsid w:val="00540202"/>
    <w:rsid w:val="00540DCA"/>
    <w:rsid w:val="00540E4A"/>
    <w:rsid w:val="005426B3"/>
    <w:rsid w:val="005429CB"/>
    <w:rsid w:val="005525B1"/>
    <w:rsid w:val="0055375D"/>
    <w:rsid w:val="00560199"/>
    <w:rsid w:val="00561273"/>
    <w:rsid w:val="0056180E"/>
    <w:rsid w:val="005625A0"/>
    <w:rsid w:val="0057143E"/>
    <w:rsid w:val="00585038"/>
    <w:rsid w:val="00594E27"/>
    <w:rsid w:val="00595FCE"/>
    <w:rsid w:val="005A0889"/>
    <w:rsid w:val="005A0C20"/>
    <w:rsid w:val="005A1038"/>
    <w:rsid w:val="005A2558"/>
    <w:rsid w:val="005B1BFD"/>
    <w:rsid w:val="005B5751"/>
    <w:rsid w:val="005C1023"/>
    <w:rsid w:val="005C2F7E"/>
    <w:rsid w:val="005C5825"/>
    <w:rsid w:val="005C677D"/>
    <w:rsid w:val="005C7E39"/>
    <w:rsid w:val="005D2224"/>
    <w:rsid w:val="005E25B7"/>
    <w:rsid w:val="005E28F7"/>
    <w:rsid w:val="005E32CC"/>
    <w:rsid w:val="005E430C"/>
    <w:rsid w:val="005E6DF1"/>
    <w:rsid w:val="005F10FB"/>
    <w:rsid w:val="005F3DCE"/>
    <w:rsid w:val="005F47D5"/>
    <w:rsid w:val="005F5072"/>
    <w:rsid w:val="00600145"/>
    <w:rsid w:val="006012D2"/>
    <w:rsid w:val="006016B1"/>
    <w:rsid w:val="00604738"/>
    <w:rsid w:val="00607320"/>
    <w:rsid w:val="00610871"/>
    <w:rsid w:val="006116E6"/>
    <w:rsid w:val="00613F91"/>
    <w:rsid w:val="0063463B"/>
    <w:rsid w:val="00636B44"/>
    <w:rsid w:val="006535AD"/>
    <w:rsid w:val="00655AAA"/>
    <w:rsid w:val="00656301"/>
    <w:rsid w:val="0065645D"/>
    <w:rsid w:val="00657570"/>
    <w:rsid w:val="006605E0"/>
    <w:rsid w:val="00660A60"/>
    <w:rsid w:val="0066163E"/>
    <w:rsid w:val="006617B5"/>
    <w:rsid w:val="00665D8A"/>
    <w:rsid w:val="006675DB"/>
    <w:rsid w:val="006749FB"/>
    <w:rsid w:val="00685C8F"/>
    <w:rsid w:val="0068656E"/>
    <w:rsid w:val="0069529D"/>
    <w:rsid w:val="006966CC"/>
    <w:rsid w:val="00696902"/>
    <w:rsid w:val="0069729E"/>
    <w:rsid w:val="006A06EC"/>
    <w:rsid w:val="006A5457"/>
    <w:rsid w:val="006B0854"/>
    <w:rsid w:val="006C266D"/>
    <w:rsid w:val="006C52CD"/>
    <w:rsid w:val="006C748F"/>
    <w:rsid w:val="006E1F43"/>
    <w:rsid w:val="006E725A"/>
    <w:rsid w:val="006F1F1A"/>
    <w:rsid w:val="006F2552"/>
    <w:rsid w:val="006F70C3"/>
    <w:rsid w:val="00704420"/>
    <w:rsid w:val="00707A2C"/>
    <w:rsid w:val="00711873"/>
    <w:rsid w:val="00715447"/>
    <w:rsid w:val="0072055A"/>
    <w:rsid w:val="00721E0D"/>
    <w:rsid w:val="00722D1E"/>
    <w:rsid w:val="00722F26"/>
    <w:rsid w:val="00723BE3"/>
    <w:rsid w:val="00726288"/>
    <w:rsid w:val="00730C88"/>
    <w:rsid w:val="00732899"/>
    <w:rsid w:val="00735567"/>
    <w:rsid w:val="00747251"/>
    <w:rsid w:val="00754818"/>
    <w:rsid w:val="007615B0"/>
    <w:rsid w:val="0076213B"/>
    <w:rsid w:val="00772AB2"/>
    <w:rsid w:val="00777005"/>
    <w:rsid w:val="00786E37"/>
    <w:rsid w:val="0079079C"/>
    <w:rsid w:val="007923EC"/>
    <w:rsid w:val="007956CD"/>
    <w:rsid w:val="007A1AE5"/>
    <w:rsid w:val="007A3851"/>
    <w:rsid w:val="007A40F1"/>
    <w:rsid w:val="007B1EE3"/>
    <w:rsid w:val="007B4A95"/>
    <w:rsid w:val="007B5DD1"/>
    <w:rsid w:val="007C2509"/>
    <w:rsid w:val="007C31C7"/>
    <w:rsid w:val="007D2F2D"/>
    <w:rsid w:val="007E2C10"/>
    <w:rsid w:val="007E3E7D"/>
    <w:rsid w:val="007F503A"/>
    <w:rsid w:val="00800984"/>
    <w:rsid w:val="0080203C"/>
    <w:rsid w:val="008103FB"/>
    <w:rsid w:val="008118D6"/>
    <w:rsid w:val="008124F7"/>
    <w:rsid w:val="0081259D"/>
    <w:rsid w:val="00821405"/>
    <w:rsid w:val="00825B1E"/>
    <w:rsid w:val="00826377"/>
    <w:rsid w:val="00830CA3"/>
    <w:rsid w:val="00833DC6"/>
    <w:rsid w:val="00834E02"/>
    <w:rsid w:val="00836ABC"/>
    <w:rsid w:val="0083739E"/>
    <w:rsid w:val="00842792"/>
    <w:rsid w:val="00850B1A"/>
    <w:rsid w:val="00851CE1"/>
    <w:rsid w:val="00865611"/>
    <w:rsid w:val="008657FE"/>
    <w:rsid w:val="0086783C"/>
    <w:rsid w:val="00875EE6"/>
    <w:rsid w:val="00883571"/>
    <w:rsid w:val="00883821"/>
    <w:rsid w:val="008857E0"/>
    <w:rsid w:val="0088680A"/>
    <w:rsid w:val="00890E43"/>
    <w:rsid w:val="00892CA0"/>
    <w:rsid w:val="00893E39"/>
    <w:rsid w:val="00894C3D"/>
    <w:rsid w:val="008A041E"/>
    <w:rsid w:val="008A208C"/>
    <w:rsid w:val="008A4E8B"/>
    <w:rsid w:val="008A5F25"/>
    <w:rsid w:val="008A63E1"/>
    <w:rsid w:val="008A702F"/>
    <w:rsid w:val="008A79C9"/>
    <w:rsid w:val="008B4D12"/>
    <w:rsid w:val="008C6364"/>
    <w:rsid w:val="008C75AC"/>
    <w:rsid w:val="008E1FBB"/>
    <w:rsid w:val="008E489C"/>
    <w:rsid w:val="008E77F6"/>
    <w:rsid w:val="008F19BA"/>
    <w:rsid w:val="008F34B6"/>
    <w:rsid w:val="008F38D9"/>
    <w:rsid w:val="008F60FE"/>
    <w:rsid w:val="0090165D"/>
    <w:rsid w:val="0090464B"/>
    <w:rsid w:val="00906632"/>
    <w:rsid w:val="0091654B"/>
    <w:rsid w:val="00920EAD"/>
    <w:rsid w:val="00922403"/>
    <w:rsid w:val="009267D4"/>
    <w:rsid w:val="009274B3"/>
    <w:rsid w:val="00932C9B"/>
    <w:rsid w:val="009522C0"/>
    <w:rsid w:val="00953450"/>
    <w:rsid w:val="00953624"/>
    <w:rsid w:val="00954F85"/>
    <w:rsid w:val="00961E74"/>
    <w:rsid w:val="00963815"/>
    <w:rsid w:val="00965A16"/>
    <w:rsid w:val="0097029F"/>
    <w:rsid w:val="00977F32"/>
    <w:rsid w:val="00985C67"/>
    <w:rsid w:val="00986A26"/>
    <w:rsid w:val="00990858"/>
    <w:rsid w:val="00991479"/>
    <w:rsid w:val="00997915"/>
    <w:rsid w:val="00997D8D"/>
    <w:rsid w:val="009A0099"/>
    <w:rsid w:val="009A1518"/>
    <w:rsid w:val="009A2798"/>
    <w:rsid w:val="009B1BF0"/>
    <w:rsid w:val="009C54A8"/>
    <w:rsid w:val="009C626B"/>
    <w:rsid w:val="009D5EA7"/>
    <w:rsid w:val="009D686F"/>
    <w:rsid w:val="009E1846"/>
    <w:rsid w:val="009F16D7"/>
    <w:rsid w:val="009F6929"/>
    <w:rsid w:val="00A03C37"/>
    <w:rsid w:val="00A16B32"/>
    <w:rsid w:val="00A21546"/>
    <w:rsid w:val="00A222CE"/>
    <w:rsid w:val="00A242AA"/>
    <w:rsid w:val="00A2736D"/>
    <w:rsid w:val="00A309EC"/>
    <w:rsid w:val="00A32314"/>
    <w:rsid w:val="00A33D6C"/>
    <w:rsid w:val="00A4089F"/>
    <w:rsid w:val="00A50972"/>
    <w:rsid w:val="00A54ACD"/>
    <w:rsid w:val="00A6193C"/>
    <w:rsid w:val="00A6555A"/>
    <w:rsid w:val="00A66A6B"/>
    <w:rsid w:val="00A75EDD"/>
    <w:rsid w:val="00A77A41"/>
    <w:rsid w:val="00A846D3"/>
    <w:rsid w:val="00A867AB"/>
    <w:rsid w:val="00A878C3"/>
    <w:rsid w:val="00A955F3"/>
    <w:rsid w:val="00AA111A"/>
    <w:rsid w:val="00AA1F69"/>
    <w:rsid w:val="00AA20D6"/>
    <w:rsid w:val="00AA2D40"/>
    <w:rsid w:val="00AA2F1D"/>
    <w:rsid w:val="00AA796B"/>
    <w:rsid w:val="00AA7FD6"/>
    <w:rsid w:val="00AC3BD9"/>
    <w:rsid w:val="00AC7759"/>
    <w:rsid w:val="00AD22A9"/>
    <w:rsid w:val="00AD6F0F"/>
    <w:rsid w:val="00AE2510"/>
    <w:rsid w:val="00AF68CC"/>
    <w:rsid w:val="00B00599"/>
    <w:rsid w:val="00B01A12"/>
    <w:rsid w:val="00B02C61"/>
    <w:rsid w:val="00B071B7"/>
    <w:rsid w:val="00B1776B"/>
    <w:rsid w:val="00B1791F"/>
    <w:rsid w:val="00B17B79"/>
    <w:rsid w:val="00B22497"/>
    <w:rsid w:val="00B317DC"/>
    <w:rsid w:val="00B35292"/>
    <w:rsid w:val="00B3782E"/>
    <w:rsid w:val="00B43F5C"/>
    <w:rsid w:val="00B44D54"/>
    <w:rsid w:val="00B45FF5"/>
    <w:rsid w:val="00B46832"/>
    <w:rsid w:val="00B528EF"/>
    <w:rsid w:val="00B54254"/>
    <w:rsid w:val="00B54AD2"/>
    <w:rsid w:val="00B62F9F"/>
    <w:rsid w:val="00B6357E"/>
    <w:rsid w:val="00B63B9F"/>
    <w:rsid w:val="00B76FBB"/>
    <w:rsid w:val="00B77169"/>
    <w:rsid w:val="00B811E8"/>
    <w:rsid w:val="00B82D5A"/>
    <w:rsid w:val="00B90438"/>
    <w:rsid w:val="00B91D0D"/>
    <w:rsid w:val="00B94435"/>
    <w:rsid w:val="00BA13EA"/>
    <w:rsid w:val="00BA7F36"/>
    <w:rsid w:val="00BB594A"/>
    <w:rsid w:val="00BB70FD"/>
    <w:rsid w:val="00BC6446"/>
    <w:rsid w:val="00BD6886"/>
    <w:rsid w:val="00BD76EE"/>
    <w:rsid w:val="00BE568E"/>
    <w:rsid w:val="00BF041E"/>
    <w:rsid w:val="00BF1D7B"/>
    <w:rsid w:val="00C016EC"/>
    <w:rsid w:val="00C0363C"/>
    <w:rsid w:val="00C0519C"/>
    <w:rsid w:val="00C114DE"/>
    <w:rsid w:val="00C233A1"/>
    <w:rsid w:val="00C265E4"/>
    <w:rsid w:val="00C31C1E"/>
    <w:rsid w:val="00C358D1"/>
    <w:rsid w:val="00C361E0"/>
    <w:rsid w:val="00C374E1"/>
    <w:rsid w:val="00C40C7B"/>
    <w:rsid w:val="00C420BA"/>
    <w:rsid w:val="00C4212A"/>
    <w:rsid w:val="00C42974"/>
    <w:rsid w:val="00C60201"/>
    <w:rsid w:val="00C609DD"/>
    <w:rsid w:val="00C64100"/>
    <w:rsid w:val="00C779AF"/>
    <w:rsid w:val="00C8070F"/>
    <w:rsid w:val="00C81C6C"/>
    <w:rsid w:val="00C82A3D"/>
    <w:rsid w:val="00C82CC3"/>
    <w:rsid w:val="00C86F48"/>
    <w:rsid w:val="00C87F19"/>
    <w:rsid w:val="00C92187"/>
    <w:rsid w:val="00C96DA9"/>
    <w:rsid w:val="00CA03A5"/>
    <w:rsid w:val="00CA20D1"/>
    <w:rsid w:val="00CA26F5"/>
    <w:rsid w:val="00CC1520"/>
    <w:rsid w:val="00CD03B1"/>
    <w:rsid w:val="00CE2578"/>
    <w:rsid w:val="00CE27B2"/>
    <w:rsid w:val="00CF12DC"/>
    <w:rsid w:val="00D1217D"/>
    <w:rsid w:val="00D177B8"/>
    <w:rsid w:val="00D206DA"/>
    <w:rsid w:val="00D225E4"/>
    <w:rsid w:val="00D22E18"/>
    <w:rsid w:val="00D23B92"/>
    <w:rsid w:val="00D268C9"/>
    <w:rsid w:val="00D373CE"/>
    <w:rsid w:val="00D413C0"/>
    <w:rsid w:val="00D43A90"/>
    <w:rsid w:val="00D45A97"/>
    <w:rsid w:val="00D475ED"/>
    <w:rsid w:val="00D51767"/>
    <w:rsid w:val="00D54F88"/>
    <w:rsid w:val="00D553E7"/>
    <w:rsid w:val="00D55EF9"/>
    <w:rsid w:val="00D629F2"/>
    <w:rsid w:val="00D63D49"/>
    <w:rsid w:val="00D71A22"/>
    <w:rsid w:val="00D72635"/>
    <w:rsid w:val="00D72704"/>
    <w:rsid w:val="00D76578"/>
    <w:rsid w:val="00D81CDE"/>
    <w:rsid w:val="00D939DC"/>
    <w:rsid w:val="00D93B00"/>
    <w:rsid w:val="00D94D58"/>
    <w:rsid w:val="00DA0CE6"/>
    <w:rsid w:val="00DA1F45"/>
    <w:rsid w:val="00DA6D0C"/>
    <w:rsid w:val="00DA6FF5"/>
    <w:rsid w:val="00DB4A71"/>
    <w:rsid w:val="00DC57E3"/>
    <w:rsid w:val="00DD4AB9"/>
    <w:rsid w:val="00DD6C05"/>
    <w:rsid w:val="00DE1A7A"/>
    <w:rsid w:val="00DE4883"/>
    <w:rsid w:val="00DF0F4A"/>
    <w:rsid w:val="00DF399F"/>
    <w:rsid w:val="00DF43C0"/>
    <w:rsid w:val="00DF672A"/>
    <w:rsid w:val="00E02A98"/>
    <w:rsid w:val="00E031E1"/>
    <w:rsid w:val="00E06755"/>
    <w:rsid w:val="00E0761B"/>
    <w:rsid w:val="00E10E16"/>
    <w:rsid w:val="00E11ADC"/>
    <w:rsid w:val="00E1202A"/>
    <w:rsid w:val="00E12197"/>
    <w:rsid w:val="00E122CB"/>
    <w:rsid w:val="00E2197E"/>
    <w:rsid w:val="00E23303"/>
    <w:rsid w:val="00E34A9A"/>
    <w:rsid w:val="00E3789D"/>
    <w:rsid w:val="00E46C2F"/>
    <w:rsid w:val="00E5052A"/>
    <w:rsid w:val="00E52934"/>
    <w:rsid w:val="00E61239"/>
    <w:rsid w:val="00E64E81"/>
    <w:rsid w:val="00E665F1"/>
    <w:rsid w:val="00E70C22"/>
    <w:rsid w:val="00E70D1A"/>
    <w:rsid w:val="00E756EC"/>
    <w:rsid w:val="00EA1C4E"/>
    <w:rsid w:val="00EA6E9D"/>
    <w:rsid w:val="00EB0889"/>
    <w:rsid w:val="00EB5DD7"/>
    <w:rsid w:val="00EB640A"/>
    <w:rsid w:val="00EB6487"/>
    <w:rsid w:val="00EC07B2"/>
    <w:rsid w:val="00EC4094"/>
    <w:rsid w:val="00EC5267"/>
    <w:rsid w:val="00ED118C"/>
    <w:rsid w:val="00ED7FEE"/>
    <w:rsid w:val="00EE2E3D"/>
    <w:rsid w:val="00EE610A"/>
    <w:rsid w:val="00EE79C6"/>
    <w:rsid w:val="00EF4361"/>
    <w:rsid w:val="00EF5E10"/>
    <w:rsid w:val="00F142F0"/>
    <w:rsid w:val="00F1488F"/>
    <w:rsid w:val="00F15BD3"/>
    <w:rsid w:val="00F17627"/>
    <w:rsid w:val="00F17741"/>
    <w:rsid w:val="00F2016F"/>
    <w:rsid w:val="00F3180C"/>
    <w:rsid w:val="00F31CEE"/>
    <w:rsid w:val="00F3591E"/>
    <w:rsid w:val="00F446D9"/>
    <w:rsid w:val="00F45A5F"/>
    <w:rsid w:val="00F45CB1"/>
    <w:rsid w:val="00F50507"/>
    <w:rsid w:val="00F51997"/>
    <w:rsid w:val="00F62649"/>
    <w:rsid w:val="00F630B2"/>
    <w:rsid w:val="00F64F50"/>
    <w:rsid w:val="00F65BA0"/>
    <w:rsid w:val="00F70B83"/>
    <w:rsid w:val="00F7121B"/>
    <w:rsid w:val="00F71899"/>
    <w:rsid w:val="00F74D96"/>
    <w:rsid w:val="00F76688"/>
    <w:rsid w:val="00F806D5"/>
    <w:rsid w:val="00F807BC"/>
    <w:rsid w:val="00F8115D"/>
    <w:rsid w:val="00F8234C"/>
    <w:rsid w:val="00F83714"/>
    <w:rsid w:val="00F879EA"/>
    <w:rsid w:val="00F94F58"/>
    <w:rsid w:val="00FA5794"/>
    <w:rsid w:val="00FA57D5"/>
    <w:rsid w:val="00FA7C70"/>
    <w:rsid w:val="00FC0361"/>
    <w:rsid w:val="00FC33C6"/>
    <w:rsid w:val="00FD1B2F"/>
    <w:rsid w:val="00FD7C18"/>
    <w:rsid w:val="00FE0240"/>
    <w:rsid w:val="00FE49DB"/>
    <w:rsid w:val="00FE6A82"/>
    <w:rsid w:val="00FF06DC"/>
    <w:rsid w:val="00FF2028"/>
    <w:rsid w:val="00FF72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79293D"/>
  <w15:docId w15:val="{BEAC3601-87C7-41F0-922D-B758C78D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02A"/>
    <w:pPr>
      <w:widowControl w:val="0"/>
      <w:tabs>
        <w:tab w:val="left" w:pos="9498"/>
      </w:tabs>
      <w:suppressAutoHyphens/>
      <w:spacing w:line="280" w:lineRule="atLeast"/>
      <w:ind w:right="-28" w:firstLine="284"/>
      <w:jc w:val="both"/>
    </w:pPr>
    <w:rPr>
      <w:rFonts w:ascii="Times" w:hAnsi="Times" w:cs="New York"/>
      <w:sz w:val="24"/>
      <w:lang w:val="it-IT" w:eastAsia="ar-SA"/>
    </w:rPr>
  </w:style>
  <w:style w:type="paragraph" w:styleId="1">
    <w:name w:val="heading 1"/>
    <w:basedOn w:val="a"/>
    <w:next w:val="a"/>
    <w:qFormat/>
    <w:pPr>
      <w:keepNext/>
      <w:pageBreakBefore/>
      <w:numPr>
        <w:numId w:val="1"/>
      </w:numPr>
      <w:spacing w:before="600" w:after="240"/>
      <w:ind w:left="850" w:hanging="850"/>
      <w:jc w:val="left"/>
      <w:outlineLvl w:val="0"/>
    </w:pPr>
    <w:rPr>
      <w:b/>
      <w:sz w:val="36"/>
    </w:rPr>
  </w:style>
  <w:style w:type="paragraph" w:styleId="2">
    <w:name w:val="heading 2"/>
    <w:basedOn w:val="1"/>
    <w:next w:val="a"/>
    <w:qFormat/>
    <w:pPr>
      <w:pageBreakBefore w:val="0"/>
      <w:numPr>
        <w:ilvl w:val="1"/>
      </w:numPr>
      <w:spacing w:before="500" w:line="200" w:lineRule="atLeast"/>
      <w:ind w:left="142" w:hanging="119"/>
      <w:outlineLvl w:val="1"/>
    </w:pPr>
    <w:rPr>
      <w:caps/>
      <w:sz w:val="24"/>
    </w:rPr>
  </w:style>
  <w:style w:type="paragraph" w:styleId="3">
    <w:name w:val="heading 3"/>
    <w:basedOn w:val="2"/>
    <w:next w:val="a"/>
    <w:qFormat/>
    <w:pPr>
      <w:numPr>
        <w:ilvl w:val="2"/>
      </w:numPr>
      <w:outlineLvl w:val="2"/>
    </w:pPr>
  </w:style>
  <w:style w:type="paragraph" w:styleId="4">
    <w:name w:val="heading 4"/>
    <w:basedOn w:val="3"/>
    <w:next w:val="a"/>
    <w:qFormat/>
    <w:pPr>
      <w:numPr>
        <w:ilvl w:val="3"/>
      </w:numPr>
      <w:outlineLvl w:val="3"/>
    </w:pPr>
    <w:rPr>
      <w:b w:val="0"/>
      <w:u w:val="single"/>
    </w:rPr>
  </w:style>
  <w:style w:type="paragraph" w:styleId="5">
    <w:name w:val="heading 5"/>
    <w:basedOn w:val="4"/>
    <w:next w:val="a"/>
    <w:qFormat/>
    <w:pPr>
      <w:numPr>
        <w:ilvl w:val="4"/>
      </w:numPr>
      <w:outlineLvl w:val="4"/>
    </w:pPr>
    <w:rPr>
      <w:i/>
    </w:rPr>
  </w:style>
  <w:style w:type="paragraph" w:styleId="6">
    <w:name w:val="heading 6"/>
    <w:basedOn w:val="a"/>
    <w:next w:val="a"/>
    <w:qFormat/>
    <w:pPr>
      <w:numPr>
        <w:ilvl w:val="5"/>
        <w:numId w:val="1"/>
      </w:numPr>
      <w:ind w:left="708" w:firstLine="284"/>
      <w:outlineLvl w:val="5"/>
    </w:pPr>
    <w:rPr>
      <w:sz w:val="20"/>
      <w:u w:val="single"/>
    </w:rPr>
  </w:style>
  <w:style w:type="paragraph" w:styleId="7">
    <w:name w:val="heading 7"/>
    <w:basedOn w:val="a"/>
    <w:next w:val="a"/>
    <w:qFormat/>
    <w:pPr>
      <w:numPr>
        <w:ilvl w:val="6"/>
        <w:numId w:val="1"/>
      </w:numPr>
      <w:spacing w:before="280" w:after="120"/>
      <w:ind w:left="23" w:hanging="23"/>
      <w:outlineLvl w:val="6"/>
    </w:pPr>
    <w:rPr>
      <w:b/>
    </w:rPr>
  </w:style>
  <w:style w:type="paragraph" w:styleId="8">
    <w:name w:val="heading 8"/>
    <w:basedOn w:val="a"/>
    <w:next w:val="a"/>
    <w:qFormat/>
    <w:pPr>
      <w:numPr>
        <w:ilvl w:val="7"/>
        <w:numId w:val="1"/>
      </w:numPr>
      <w:ind w:left="708" w:firstLine="284"/>
      <w:outlineLvl w:val="7"/>
    </w:pPr>
    <w:rPr>
      <w:i/>
      <w:sz w:val="20"/>
    </w:rPr>
  </w:style>
  <w:style w:type="paragraph" w:styleId="9">
    <w:name w:val="heading 9"/>
    <w:basedOn w:val="a"/>
    <w:next w:val="a"/>
    <w:qFormat/>
    <w:pPr>
      <w:numPr>
        <w:ilvl w:val="8"/>
        <w:numId w:val="1"/>
      </w:numPr>
      <w:ind w:left="708" w:firstLine="284"/>
      <w:outlineLvl w:val="8"/>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Wingdings" w:hAnsi="Wingdings"/>
      <w:sz w:val="20"/>
      <w:szCs w:val="20"/>
    </w:rPr>
  </w:style>
  <w:style w:type="character" w:customStyle="1" w:styleId="Carpredefinitoparagrafo2">
    <w:name w:val="Car. predefinito paragrafo2"/>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w:eastAsia="Times New Roman" w:hAnsi="Times" w:cs="Time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Wingdings" w:hAnsi="Wingdings"/>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Wingdings" w:hAnsi="Wingdings"/>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styleId="-">
    <w:name w:val="Hyperlink"/>
    <w:rPr>
      <w:color w:val="000080"/>
      <w:u w:val="single"/>
    </w:rPr>
  </w:style>
  <w:style w:type="paragraph" w:customStyle="1" w:styleId="Intestazione2">
    <w:name w:val="Intestazione2"/>
    <w:basedOn w:val="a"/>
    <w:next w:val="a3"/>
    <w:pPr>
      <w:keepNext/>
      <w:spacing w:before="240" w:after="120"/>
    </w:pPr>
    <w:rPr>
      <w:rFonts w:ascii="Liberation Sans" w:eastAsia="Bitstream Vera Sans" w:hAnsi="Liberation Sans" w:cs="Bitstream Vera Sans"/>
      <w:sz w:val="28"/>
      <w:szCs w:val="28"/>
    </w:rPr>
  </w:style>
  <w:style w:type="paragraph" w:styleId="a3">
    <w:name w:val="Body Text"/>
    <w:basedOn w:val="a"/>
    <w:pPr>
      <w:spacing w:after="120"/>
    </w:pPr>
  </w:style>
  <w:style w:type="paragraph" w:styleId="a4">
    <w:name w:val="List"/>
    <w:basedOn w:val="a3"/>
  </w:style>
  <w:style w:type="paragraph" w:customStyle="1" w:styleId="Didascalia2">
    <w:name w:val="Didascalia2"/>
    <w:basedOn w:val="a"/>
    <w:pPr>
      <w:suppressLineNumbers/>
      <w:spacing w:before="120" w:after="120"/>
    </w:pPr>
    <w:rPr>
      <w:i/>
      <w:iCs/>
      <w:szCs w:val="24"/>
    </w:rPr>
  </w:style>
  <w:style w:type="paragraph" w:customStyle="1" w:styleId="Indice">
    <w:name w:val="Indice"/>
    <w:basedOn w:val="a"/>
    <w:pPr>
      <w:suppressLineNumbers/>
    </w:pPr>
  </w:style>
  <w:style w:type="paragraph" w:customStyle="1" w:styleId="Intestazione1">
    <w:name w:val="Intestazione1"/>
    <w:basedOn w:val="a"/>
    <w:next w:val="a3"/>
    <w:pPr>
      <w:keepNext/>
      <w:spacing w:before="240" w:after="120"/>
    </w:pPr>
    <w:rPr>
      <w:rFonts w:ascii="Liberation Sans" w:eastAsia="Bitstream Vera Sans" w:hAnsi="Liberation Sans" w:cs="Bitstream Vera Sans"/>
      <w:sz w:val="28"/>
      <w:szCs w:val="28"/>
    </w:rPr>
  </w:style>
  <w:style w:type="paragraph" w:customStyle="1" w:styleId="Didascalia1">
    <w:name w:val="Didascalia1"/>
    <w:basedOn w:val="a"/>
    <w:pPr>
      <w:suppressLineNumbers/>
      <w:spacing w:before="120" w:after="120"/>
    </w:pPr>
    <w:rPr>
      <w:i/>
      <w:iCs/>
      <w:szCs w:val="24"/>
    </w:rPr>
  </w:style>
  <w:style w:type="paragraph" w:customStyle="1" w:styleId="Tilte111">
    <w:name w:val="Tilte 1.1.1"/>
    <w:basedOn w:val="a"/>
    <w:next w:val="TEXT"/>
    <w:pPr>
      <w:spacing w:before="240" w:after="120"/>
      <w:ind w:right="0" w:firstLine="0"/>
    </w:pPr>
    <w:rPr>
      <w:i/>
      <w:szCs w:val="24"/>
    </w:rPr>
  </w:style>
  <w:style w:type="paragraph" w:customStyle="1" w:styleId="AFFILIATIONS">
    <w:name w:val="AFFILIATIONS"/>
    <w:basedOn w:val="a"/>
    <w:pPr>
      <w:ind w:right="0" w:firstLine="0"/>
      <w:jc w:val="left"/>
    </w:pPr>
    <w:rPr>
      <w:i/>
      <w:color w:val="000000"/>
      <w:sz w:val="28"/>
      <w:lang w:val="en-GB"/>
    </w:rPr>
  </w:style>
  <w:style w:type="paragraph" w:customStyle="1" w:styleId="SUMMARY">
    <w:name w:val="SUMMARY"/>
    <w:basedOn w:val="a"/>
    <w:pPr>
      <w:spacing w:before="700"/>
      <w:ind w:right="0" w:firstLine="0"/>
    </w:pPr>
    <w:rPr>
      <w:color w:val="000000"/>
      <w:lang w:val="en-GB"/>
    </w:rPr>
  </w:style>
  <w:style w:type="paragraph" w:customStyle="1" w:styleId="TITLE1">
    <w:name w:val="TITLE 1"/>
    <w:basedOn w:val="SUMMARY"/>
    <w:pPr>
      <w:spacing w:before="500" w:after="240"/>
    </w:pPr>
    <w:rPr>
      <w:b/>
      <w:szCs w:val="24"/>
    </w:rPr>
  </w:style>
  <w:style w:type="paragraph" w:styleId="a5">
    <w:name w:val="footer"/>
    <w:basedOn w:val="a"/>
    <w:link w:val="Char"/>
    <w:uiPriority w:val="99"/>
    <w:pPr>
      <w:tabs>
        <w:tab w:val="center" w:pos="4819"/>
        <w:tab w:val="right" w:pos="9638"/>
      </w:tabs>
    </w:pPr>
  </w:style>
  <w:style w:type="paragraph" w:customStyle="1" w:styleId="TITLE2">
    <w:name w:val="TITLE 2"/>
    <w:basedOn w:val="a"/>
    <w:next w:val="TEXT"/>
    <w:pPr>
      <w:widowControl/>
      <w:spacing w:before="600" w:after="240"/>
      <w:ind w:right="0" w:firstLine="0"/>
    </w:pPr>
    <w:rPr>
      <w:b/>
      <w:color w:val="000000"/>
      <w:szCs w:val="24"/>
      <w:lang w:val="en-GB"/>
    </w:rPr>
  </w:style>
  <w:style w:type="paragraph" w:styleId="a6">
    <w:name w:val="header"/>
    <w:basedOn w:val="a"/>
    <w:pPr>
      <w:tabs>
        <w:tab w:val="center" w:pos="4819"/>
        <w:tab w:val="right" w:pos="9638"/>
      </w:tabs>
    </w:pPr>
  </w:style>
  <w:style w:type="paragraph" w:customStyle="1" w:styleId="TEXT">
    <w:name w:val="TEXT"/>
    <w:basedOn w:val="a"/>
    <w:pPr>
      <w:ind w:right="0"/>
    </w:pPr>
    <w:rPr>
      <w:szCs w:val="24"/>
    </w:rPr>
  </w:style>
  <w:style w:type="paragraph" w:customStyle="1" w:styleId="Sottoparagrafo">
    <w:name w:val="Sottoparagrafo"/>
    <w:basedOn w:val="a"/>
    <w:pPr>
      <w:spacing w:before="240" w:after="120"/>
      <w:ind w:right="0" w:firstLine="0"/>
    </w:pPr>
    <w:rPr>
      <w:i/>
    </w:rPr>
  </w:style>
  <w:style w:type="paragraph" w:customStyle="1" w:styleId="Title10">
    <w:name w:val="Title1"/>
    <w:basedOn w:val="a"/>
    <w:pPr>
      <w:spacing w:after="720"/>
      <w:ind w:right="0" w:firstLine="0"/>
      <w:jc w:val="left"/>
    </w:pPr>
    <w:rPr>
      <w:color w:val="000000"/>
      <w:sz w:val="48"/>
      <w:lang w:val="en-GB"/>
    </w:rPr>
  </w:style>
  <w:style w:type="paragraph" w:customStyle="1" w:styleId="AUTHOR">
    <w:name w:val="AUTHOR"/>
    <w:basedOn w:val="a"/>
    <w:pPr>
      <w:spacing w:after="240"/>
      <w:ind w:right="0" w:firstLine="0"/>
      <w:jc w:val="left"/>
    </w:pPr>
    <w:rPr>
      <w:color w:val="000000"/>
      <w:sz w:val="28"/>
      <w:lang w:val="en-GB"/>
    </w:rPr>
  </w:style>
  <w:style w:type="paragraph" w:customStyle="1" w:styleId="Title11">
    <w:name w:val="Title 1.1"/>
    <w:basedOn w:val="TEXT"/>
    <w:pPr>
      <w:spacing w:after="180"/>
      <w:ind w:firstLine="0"/>
    </w:pPr>
    <w:rPr>
      <w:b/>
      <w:color w:val="000000"/>
      <w:lang w:val="en-GB"/>
    </w:rPr>
  </w:style>
  <w:style w:type="paragraph" w:customStyle="1" w:styleId="Title12">
    <w:name w:val="Title 1.2"/>
    <w:basedOn w:val="Title11"/>
    <w:next w:val="TEXT"/>
    <w:pPr>
      <w:spacing w:before="360"/>
    </w:pPr>
  </w:style>
  <w:style w:type="paragraph" w:customStyle="1" w:styleId="Tablelegend">
    <w:name w:val="Table legend"/>
    <w:basedOn w:val="a"/>
    <w:next w:val="TEXT"/>
    <w:pPr>
      <w:spacing w:before="480" w:after="60"/>
      <w:ind w:left="1134" w:right="0" w:hanging="1134"/>
    </w:pPr>
    <w:rPr>
      <w:lang w:val="en-GB"/>
    </w:rPr>
  </w:style>
  <w:style w:type="paragraph" w:customStyle="1" w:styleId="Equation">
    <w:name w:val="Equation"/>
    <w:basedOn w:val="a"/>
    <w:next w:val="TEXT"/>
    <w:pPr>
      <w:spacing w:before="240" w:after="240"/>
      <w:ind w:right="0" w:firstLine="0"/>
      <w:jc w:val="center"/>
    </w:pPr>
  </w:style>
  <w:style w:type="paragraph" w:customStyle="1" w:styleId="Table">
    <w:name w:val="Table"/>
    <w:basedOn w:val="TEXT"/>
    <w:next w:val="TEXT"/>
    <w:pPr>
      <w:spacing w:after="480"/>
    </w:pPr>
  </w:style>
  <w:style w:type="paragraph" w:customStyle="1" w:styleId="FIGURE">
    <w:name w:val="FIGURE"/>
    <w:basedOn w:val="a"/>
    <w:pPr>
      <w:spacing w:before="480" w:after="240"/>
      <w:ind w:right="0" w:firstLine="0"/>
      <w:jc w:val="center"/>
    </w:pPr>
  </w:style>
  <w:style w:type="paragraph" w:customStyle="1" w:styleId="Figurelegend">
    <w:name w:val="Figure legend"/>
    <w:basedOn w:val="a"/>
    <w:next w:val="TEXT"/>
    <w:pPr>
      <w:spacing w:before="120" w:after="480"/>
      <w:ind w:left="992" w:right="0" w:hanging="992"/>
    </w:pPr>
    <w:rPr>
      <w:lang w:val="en-GB"/>
    </w:rPr>
  </w:style>
  <w:style w:type="paragraph" w:customStyle="1" w:styleId="List1">
    <w:name w:val="List1"/>
    <w:basedOn w:val="a"/>
    <w:pPr>
      <w:numPr>
        <w:numId w:val="2"/>
      </w:numPr>
      <w:ind w:left="0" w:right="0" w:firstLine="284"/>
    </w:pPr>
    <w:rPr>
      <w:szCs w:val="24"/>
    </w:rPr>
  </w:style>
  <w:style w:type="paragraph" w:customStyle="1" w:styleId="REFERENCES">
    <w:name w:val="REFERENCES"/>
    <w:basedOn w:val="a"/>
    <w:next w:val="TEXT"/>
    <w:pPr>
      <w:spacing w:after="60"/>
      <w:ind w:left="284" w:right="0" w:hanging="284"/>
    </w:pPr>
    <w:rPr>
      <w:lang w:val="da-DK"/>
    </w:rPr>
  </w:style>
  <w:style w:type="paragraph" w:customStyle="1" w:styleId="Contenutotabella">
    <w:name w:val="Contenuto tabella"/>
    <w:basedOn w:val="a"/>
    <w:pPr>
      <w:suppressLineNumbers/>
    </w:pPr>
  </w:style>
  <w:style w:type="paragraph" w:customStyle="1" w:styleId="Intestazionetabella">
    <w:name w:val="Intestazione tabella"/>
    <w:basedOn w:val="Contenutotabella"/>
    <w:pPr>
      <w:jc w:val="center"/>
    </w:pPr>
    <w:rPr>
      <w:b/>
      <w:bCs/>
    </w:rPr>
  </w:style>
  <w:style w:type="paragraph" w:customStyle="1" w:styleId="S09AUTORI">
    <w:name w:val="S09_AUTORI"/>
    <w:basedOn w:val="AUTHOR"/>
    <w:next w:val="S09AFFILIAZIONI"/>
    <w:pPr>
      <w:spacing w:before="200" w:after="200"/>
    </w:pPr>
  </w:style>
  <w:style w:type="paragraph" w:customStyle="1" w:styleId="Affiliations0">
    <w:name w:val="Affiliations"/>
    <w:basedOn w:val="a"/>
    <w:pPr>
      <w:spacing w:line="240" w:lineRule="atLeast"/>
    </w:pPr>
    <w:rPr>
      <w:i/>
      <w:sz w:val="20"/>
    </w:rPr>
  </w:style>
  <w:style w:type="paragraph" w:customStyle="1" w:styleId="S09AFFILIAZIONI">
    <w:name w:val="S09_AFFILIAZIONI"/>
    <w:basedOn w:val="Affiliations0"/>
    <w:next w:val="S09KEYWORDS"/>
    <w:rPr>
      <w:lang w:val="en-GB"/>
    </w:rPr>
  </w:style>
  <w:style w:type="paragraph" w:customStyle="1" w:styleId="Keywords">
    <w:name w:val="Key words"/>
    <w:basedOn w:val="a"/>
    <w:rPr>
      <w:i/>
      <w:lang w:val="en-GB"/>
    </w:rPr>
  </w:style>
  <w:style w:type="paragraph" w:customStyle="1" w:styleId="S09KEYWORDS">
    <w:name w:val="S09_KEYWORDS"/>
    <w:basedOn w:val="Keywords"/>
    <w:next w:val="S09PRIMOPARAGRAFO"/>
    <w:pPr>
      <w:spacing w:before="200" w:after="200"/>
    </w:pPr>
  </w:style>
  <w:style w:type="paragraph" w:customStyle="1" w:styleId="S09PRIMOPARAGRAFO">
    <w:name w:val="S09_PRIMO PARAGRAFO"/>
    <w:basedOn w:val="a"/>
    <w:next w:val="S09PARAGRAFISUCESSIVI"/>
    <w:rPr>
      <w:szCs w:val="24"/>
      <w:lang w:val="en-GB"/>
    </w:rPr>
  </w:style>
  <w:style w:type="paragraph" w:customStyle="1" w:styleId="S09PARAGRAFISUCESSIVI">
    <w:name w:val="S09_PARAGRAFI SUCESSIVI"/>
    <w:basedOn w:val="a"/>
    <w:pPr>
      <w:ind w:right="0"/>
    </w:pPr>
    <w:rPr>
      <w:szCs w:val="24"/>
      <w:lang w:val="en-GB"/>
    </w:rPr>
  </w:style>
  <w:style w:type="character" w:customStyle="1" w:styleId="longtext">
    <w:name w:val="long_text"/>
    <w:basedOn w:val="a0"/>
    <w:rsid w:val="005525B1"/>
  </w:style>
  <w:style w:type="table" w:styleId="a7">
    <w:name w:val="Table Grid"/>
    <w:basedOn w:val="a1"/>
    <w:rsid w:val="00594E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36D94"/>
    <w:rPr>
      <w:rFonts w:ascii="Tahoma" w:hAnsi="Tahoma" w:cs="Tahoma"/>
      <w:sz w:val="16"/>
      <w:szCs w:val="16"/>
    </w:rPr>
  </w:style>
  <w:style w:type="character" w:styleId="a9">
    <w:name w:val="annotation reference"/>
    <w:semiHidden/>
    <w:rsid w:val="00F65BA0"/>
    <w:rPr>
      <w:sz w:val="16"/>
      <w:szCs w:val="16"/>
    </w:rPr>
  </w:style>
  <w:style w:type="paragraph" w:styleId="aa">
    <w:name w:val="annotation text"/>
    <w:basedOn w:val="a"/>
    <w:semiHidden/>
    <w:rsid w:val="00F65BA0"/>
    <w:rPr>
      <w:sz w:val="20"/>
    </w:rPr>
  </w:style>
  <w:style w:type="paragraph" w:styleId="ab">
    <w:name w:val="annotation subject"/>
    <w:basedOn w:val="aa"/>
    <w:next w:val="aa"/>
    <w:semiHidden/>
    <w:rsid w:val="00F65BA0"/>
    <w:rPr>
      <w:b/>
      <w:bCs/>
    </w:rPr>
  </w:style>
  <w:style w:type="paragraph" w:customStyle="1" w:styleId="ColorfulList-Accent11">
    <w:name w:val="Colorful List - Accent 11"/>
    <w:basedOn w:val="a"/>
    <w:uiPriority w:val="72"/>
    <w:qFormat/>
    <w:rsid w:val="005A1038"/>
    <w:pPr>
      <w:suppressAutoHyphens w:val="0"/>
      <w:ind w:left="708"/>
    </w:pPr>
    <w:rPr>
      <w:rFonts w:cs="Times New Roman"/>
      <w:lang w:eastAsia="it-IT"/>
    </w:rPr>
  </w:style>
  <w:style w:type="paragraph" w:styleId="Web">
    <w:name w:val="Normal (Web)"/>
    <w:basedOn w:val="a"/>
    <w:uiPriority w:val="99"/>
    <w:unhideWhenUsed/>
    <w:rsid w:val="005A1038"/>
    <w:pPr>
      <w:widowControl/>
      <w:tabs>
        <w:tab w:val="clear" w:pos="9498"/>
      </w:tabs>
      <w:suppressAutoHyphens w:val="0"/>
      <w:spacing w:before="100" w:beforeAutospacing="1" w:after="100" w:afterAutospacing="1" w:line="240" w:lineRule="auto"/>
      <w:ind w:right="0" w:firstLine="0"/>
      <w:jc w:val="left"/>
    </w:pPr>
    <w:rPr>
      <w:rFonts w:ascii="Times New Roman" w:hAnsi="Times New Roman" w:cs="Times New Roman"/>
      <w:szCs w:val="24"/>
      <w:lang w:eastAsia="it-IT"/>
    </w:rPr>
  </w:style>
  <w:style w:type="character" w:customStyle="1" w:styleId="referencetext">
    <w:name w:val="referencetext"/>
    <w:rsid w:val="005A1038"/>
  </w:style>
  <w:style w:type="paragraph" w:styleId="-HTML">
    <w:name w:val="HTML Preformatted"/>
    <w:basedOn w:val="a"/>
    <w:link w:val="-HTMLChar"/>
    <w:uiPriority w:val="99"/>
    <w:unhideWhenUsed/>
    <w:rsid w:val="005A1038"/>
    <w:pPr>
      <w:widowControl/>
      <w:tabs>
        <w:tab w:val="clear" w:pos="949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0" w:firstLine="0"/>
      <w:jc w:val="left"/>
    </w:pPr>
    <w:rPr>
      <w:rFonts w:ascii="Courier New" w:hAnsi="Courier New" w:cs="Times New Roman"/>
      <w:sz w:val="20"/>
      <w:lang w:val="x-none" w:eastAsia="x-none"/>
    </w:rPr>
  </w:style>
  <w:style w:type="character" w:customStyle="1" w:styleId="-HTMLChar">
    <w:name w:val="Προ-διαμορφωμένο HTML Char"/>
    <w:link w:val="-HTML"/>
    <w:uiPriority w:val="99"/>
    <w:rsid w:val="005A1038"/>
    <w:rPr>
      <w:rFonts w:ascii="Courier New" w:hAnsi="Courier New" w:cs="Courier New"/>
    </w:rPr>
  </w:style>
  <w:style w:type="character" w:styleId="ac">
    <w:name w:val="Strong"/>
    <w:uiPriority w:val="22"/>
    <w:qFormat/>
    <w:rsid w:val="005A1038"/>
    <w:rPr>
      <w:b/>
      <w:bCs/>
    </w:rPr>
  </w:style>
  <w:style w:type="character" w:customStyle="1" w:styleId="Char">
    <w:name w:val="Υποσέλιδο Char"/>
    <w:link w:val="a5"/>
    <w:uiPriority w:val="99"/>
    <w:rsid w:val="00047160"/>
    <w:rPr>
      <w:rFonts w:ascii="Times" w:hAnsi="Times" w:cs="New York"/>
      <w:sz w:val="24"/>
      <w:lang w:val="it-IT" w:eastAsia="ar-SA"/>
    </w:rPr>
  </w:style>
  <w:style w:type="table" w:customStyle="1" w:styleId="21">
    <w:name w:val="Απλός πίνακας 21"/>
    <w:basedOn w:val="a1"/>
    <w:uiPriority w:val="42"/>
    <w:rsid w:val="00730C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caption"/>
    <w:basedOn w:val="a"/>
    <w:next w:val="a"/>
    <w:unhideWhenUsed/>
    <w:qFormat/>
    <w:rsid w:val="00A16B32"/>
    <w:pPr>
      <w:spacing w:after="200" w:line="240" w:lineRule="auto"/>
    </w:pPr>
    <w:rPr>
      <w:i/>
      <w:iCs/>
      <w:color w:val="44546A" w:themeColor="text2"/>
      <w:sz w:val="18"/>
      <w:szCs w:val="18"/>
    </w:rPr>
  </w:style>
  <w:style w:type="table" w:customStyle="1" w:styleId="31">
    <w:name w:val="Πίνακας λίστας 31"/>
    <w:basedOn w:val="a1"/>
    <w:uiPriority w:val="48"/>
    <w:rsid w:val="00B76FBB"/>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0">
    <w:name w:val="Ανεπίλυτη αναφορά1"/>
    <w:basedOn w:val="a0"/>
    <w:uiPriority w:val="99"/>
    <w:semiHidden/>
    <w:unhideWhenUsed/>
    <w:rsid w:val="004D06F3"/>
    <w:rPr>
      <w:color w:val="605E5C"/>
      <w:shd w:val="clear" w:color="auto" w:fill="E1DFDD"/>
    </w:rPr>
  </w:style>
  <w:style w:type="character" w:styleId="-0">
    <w:name w:val="FollowedHyperlink"/>
    <w:basedOn w:val="a0"/>
    <w:rsid w:val="00E031E1"/>
    <w:rPr>
      <w:color w:val="954F72" w:themeColor="followedHyperlink"/>
      <w:u w:val="single"/>
    </w:rPr>
  </w:style>
  <w:style w:type="paragraph" w:styleId="ae">
    <w:name w:val="List Paragraph"/>
    <w:basedOn w:val="a"/>
    <w:uiPriority w:val="34"/>
    <w:qFormat/>
    <w:rsid w:val="00285DE5"/>
    <w:pPr>
      <w:ind w:left="720"/>
      <w:contextualSpacing/>
    </w:pPr>
  </w:style>
  <w:style w:type="table" w:styleId="af">
    <w:name w:val="Light Shading"/>
    <w:basedOn w:val="a1"/>
    <w:uiPriority w:val="60"/>
    <w:rsid w:val="00371F7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6549">
      <w:bodyDiv w:val="1"/>
      <w:marLeft w:val="0"/>
      <w:marRight w:val="0"/>
      <w:marTop w:val="0"/>
      <w:marBottom w:val="0"/>
      <w:divBdr>
        <w:top w:val="none" w:sz="0" w:space="0" w:color="auto"/>
        <w:left w:val="none" w:sz="0" w:space="0" w:color="auto"/>
        <w:bottom w:val="none" w:sz="0" w:space="0" w:color="auto"/>
        <w:right w:val="none" w:sz="0" w:space="0" w:color="auto"/>
      </w:divBdr>
      <w:divsChild>
        <w:div w:id="679552136">
          <w:marLeft w:val="0"/>
          <w:marRight w:val="0"/>
          <w:marTop w:val="0"/>
          <w:marBottom w:val="0"/>
          <w:divBdr>
            <w:top w:val="none" w:sz="0" w:space="0" w:color="auto"/>
            <w:left w:val="none" w:sz="0" w:space="0" w:color="auto"/>
            <w:bottom w:val="none" w:sz="0" w:space="0" w:color="auto"/>
            <w:right w:val="none" w:sz="0" w:space="0" w:color="auto"/>
          </w:divBdr>
          <w:divsChild>
            <w:div w:id="2139830964">
              <w:marLeft w:val="0"/>
              <w:marRight w:val="0"/>
              <w:marTop w:val="0"/>
              <w:marBottom w:val="0"/>
              <w:divBdr>
                <w:top w:val="none" w:sz="0" w:space="0" w:color="auto"/>
                <w:left w:val="none" w:sz="0" w:space="0" w:color="auto"/>
                <w:bottom w:val="none" w:sz="0" w:space="0" w:color="auto"/>
                <w:right w:val="none" w:sz="0" w:space="0" w:color="auto"/>
              </w:divBdr>
            </w:div>
          </w:divsChild>
        </w:div>
        <w:div w:id="456292594">
          <w:marLeft w:val="0"/>
          <w:marRight w:val="0"/>
          <w:marTop w:val="0"/>
          <w:marBottom w:val="0"/>
          <w:divBdr>
            <w:top w:val="none" w:sz="0" w:space="0" w:color="auto"/>
            <w:left w:val="none" w:sz="0" w:space="0" w:color="auto"/>
            <w:bottom w:val="none" w:sz="0" w:space="0" w:color="auto"/>
            <w:right w:val="none" w:sz="0" w:space="0" w:color="auto"/>
          </w:divBdr>
        </w:div>
      </w:divsChild>
    </w:div>
    <w:div w:id="877662498">
      <w:bodyDiv w:val="1"/>
      <w:marLeft w:val="0"/>
      <w:marRight w:val="0"/>
      <w:marTop w:val="0"/>
      <w:marBottom w:val="0"/>
      <w:divBdr>
        <w:top w:val="none" w:sz="0" w:space="0" w:color="auto"/>
        <w:left w:val="none" w:sz="0" w:space="0" w:color="auto"/>
        <w:bottom w:val="none" w:sz="0" w:space="0" w:color="auto"/>
        <w:right w:val="none" w:sz="0" w:space="0" w:color="auto"/>
      </w:divBdr>
    </w:div>
    <w:div w:id="1202404084">
      <w:bodyDiv w:val="1"/>
      <w:marLeft w:val="0"/>
      <w:marRight w:val="0"/>
      <w:marTop w:val="0"/>
      <w:marBottom w:val="0"/>
      <w:divBdr>
        <w:top w:val="none" w:sz="0" w:space="0" w:color="auto"/>
        <w:left w:val="none" w:sz="0" w:space="0" w:color="auto"/>
        <w:bottom w:val="none" w:sz="0" w:space="0" w:color="auto"/>
        <w:right w:val="none" w:sz="0" w:space="0" w:color="auto"/>
      </w:divBdr>
    </w:div>
    <w:div w:id="1362898271">
      <w:bodyDiv w:val="1"/>
      <w:marLeft w:val="0"/>
      <w:marRight w:val="0"/>
      <w:marTop w:val="0"/>
      <w:marBottom w:val="0"/>
      <w:divBdr>
        <w:top w:val="none" w:sz="0" w:space="0" w:color="auto"/>
        <w:left w:val="none" w:sz="0" w:space="0" w:color="auto"/>
        <w:bottom w:val="none" w:sz="0" w:space="0" w:color="auto"/>
        <w:right w:val="none" w:sz="0" w:space="0" w:color="auto"/>
      </w:divBdr>
    </w:div>
    <w:div w:id="1518884810">
      <w:bodyDiv w:val="1"/>
      <w:marLeft w:val="0"/>
      <w:marRight w:val="0"/>
      <w:marTop w:val="0"/>
      <w:marBottom w:val="0"/>
      <w:divBdr>
        <w:top w:val="none" w:sz="0" w:space="0" w:color="auto"/>
        <w:left w:val="none" w:sz="0" w:space="0" w:color="auto"/>
        <w:bottom w:val="none" w:sz="0" w:space="0" w:color="auto"/>
        <w:right w:val="none" w:sz="0" w:space="0" w:color="auto"/>
      </w:divBdr>
      <w:divsChild>
        <w:div w:id="268901994">
          <w:marLeft w:val="0"/>
          <w:marRight w:val="0"/>
          <w:marTop w:val="0"/>
          <w:marBottom w:val="0"/>
          <w:divBdr>
            <w:top w:val="none" w:sz="0" w:space="0" w:color="auto"/>
            <w:left w:val="none" w:sz="0" w:space="0" w:color="auto"/>
            <w:bottom w:val="none" w:sz="0" w:space="0" w:color="auto"/>
            <w:right w:val="none" w:sz="0" w:space="0" w:color="auto"/>
          </w:divBdr>
        </w:div>
      </w:divsChild>
    </w:div>
    <w:div w:id="2067682043">
      <w:bodyDiv w:val="1"/>
      <w:marLeft w:val="0"/>
      <w:marRight w:val="0"/>
      <w:marTop w:val="0"/>
      <w:marBottom w:val="0"/>
      <w:divBdr>
        <w:top w:val="none" w:sz="0" w:space="0" w:color="auto"/>
        <w:left w:val="none" w:sz="0" w:space="0" w:color="auto"/>
        <w:bottom w:val="none" w:sz="0" w:space="0" w:color="auto"/>
        <w:right w:val="none" w:sz="0" w:space="0" w:color="auto"/>
      </w:divBdr>
      <w:divsChild>
        <w:div w:id="314841641">
          <w:marLeft w:val="0"/>
          <w:marRight w:val="0"/>
          <w:marTop w:val="0"/>
          <w:marBottom w:val="0"/>
          <w:divBdr>
            <w:top w:val="none" w:sz="0" w:space="0" w:color="auto"/>
            <w:left w:val="none" w:sz="0" w:space="0" w:color="auto"/>
            <w:bottom w:val="none" w:sz="0" w:space="0" w:color="auto"/>
            <w:right w:val="none" w:sz="0" w:space="0" w:color="auto"/>
          </w:divBdr>
          <w:divsChild>
            <w:div w:id="1008797430">
              <w:marLeft w:val="0"/>
              <w:marRight w:val="0"/>
              <w:marTop w:val="0"/>
              <w:marBottom w:val="0"/>
              <w:divBdr>
                <w:top w:val="none" w:sz="0" w:space="0" w:color="auto"/>
                <w:left w:val="none" w:sz="0" w:space="0" w:color="auto"/>
                <w:bottom w:val="none" w:sz="0" w:space="0" w:color="auto"/>
                <w:right w:val="none" w:sz="0" w:space="0" w:color="auto"/>
              </w:divBdr>
            </w:div>
          </w:divsChild>
        </w:div>
        <w:div w:id="908536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entek@isc.tuc.gr"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goula@uowm.gr" TargetMode="External"/><Relationship Id="rId4" Type="http://schemas.openxmlformats.org/officeDocument/2006/relationships/settings" Target="settings.xml"/><Relationship Id="rId9" Type="http://schemas.openxmlformats.org/officeDocument/2006/relationships/hyperlink" Target="mailto:EDrosou@isc.tuc.gr" TargetMode="Externa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ARDINIA%202005\istruzioni%20autori\Paper_mod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8FEC4-87DC-450E-9F5C-653E21B2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Paper_model</Template>
  <TotalTime>0</TotalTime>
  <Pages>9</Pages>
  <Words>4086</Words>
  <Characters>23292</Characters>
  <Application>Microsoft Office Word</Application>
  <DocSecurity>0</DocSecurity>
  <Lines>194</Lines>
  <Paragraphs>54</Paragraphs>
  <ScaleCrop>false</ScaleCrop>
  <HeadingPairs>
    <vt:vector size="6" baseType="variant">
      <vt:variant>
        <vt:lpstr>Title</vt:lpstr>
      </vt:variant>
      <vt:variant>
        <vt:i4>1</vt:i4>
      </vt:variant>
      <vt:variant>
        <vt:lpstr>Τίτλος</vt:lpstr>
      </vt:variant>
      <vt:variant>
        <vt:i4>1</vt:i4>
      </vt:variant>
      <vt:variant>
        <vt:lpstr>Titolo</vt:lpstr>
      </vt:variant>
      <vt:variant>
        <vt:i4>1</vt:i4>
      </vt:variant>
    </vt:vector>
  </HeadingPairs>
  <TitlesOfParts>
    <vt:vector size="3" baseType="lpstr">
      <vt:lpstr>MSW LEACHATE TREATMENT BY ELECTROCHEMICAL OXIDATION</vt:lpstr>
      <vt:lpstr>MSW LEACHATE TREATMENT BY ELECTROCHEMICAL OXIDATION</vt:lpstr>
      <vt:lpstr>MSW LEACHATE TREATMENT BY ELECTROCHEMICAL OXIDATION</vt:lpstr>
    </vt:vector>
  </TitlesOfParts>
  <Company>unipd</Company>
  <LinksUpToDate>false</LinksUpToDate>
  <CharactersWithSpaces>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MSW LEACHATE TREATMENT BY ELECTROCHEMICAL OXIDATION</dc:title>
  <dc:creator>iat</dc:creator>
  <cp:lastModifiedBy>Katia Drosou</cp:lastModifiedBy>
  <cp:revision>2</cp:revision>
  <cp:lastPrinted>2021-07-21T09:38:00Z</cp:lastPrinted>
  <dcterms:created xsi:type="dcterms:W3CDTF">2021-09-13T09:27:00Z</dcterms:created>
  <dcterms:modified xsi:type="dcterms:W3CDTF">2021-09-13T09:27:00Z</dcterms:modified>
</cp:coreProperties>
</file>