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0EAAF" w14:textId="1C7C7B78" w:rsidR="00F502E6" w:rsidRPr="007B18A2" w:rsidRDefault="007B18A2" w:rsidP="00F502E6">
      <w:pPr>
        <w:pStyle w:val="11"/>
        <w:rPr>
          <w:rFonts w:asciiTheme="minorHAnsi" w:hAnsiTheme="minorHAnsi"/>
          <w:sz w:val="24"/>
          <w:lang w:val="en-US"/>
        </w:rPr>
      </w:pPr>
      <w:r>
        <w:rPr>
          <w:rFonts w:ascii="Times New Roman" w:hAnsi="Times New Roman"/>
          <w:sz w:val="24"/>
          <w:lang w:val="en-GB"/>
        </w:rPr>
        <w:t xml:space="preserve">CO oxidation on </w:t>
      </w:r>
      <w:r w:rsidR="00DB5D87">
        <w:rPr>
          <w:rFonts w:ascii="Times New Roman" w:hAnsi="Times New Roman"/>
          <w:sz w:val="24"/>
          <w:lang w:val="en-US"/>
        </w:rPr>
        <w:t>SUPPORTED I</w:t>
      </w:r>
      <w:r w:rsidR="00276E02">
        <w:rPr>
          <w:rFonts w:ascii="Times New Roman" w:hAnsi="Times New Roman"/>
          <w:sz w:val="24"/>
          <w:lang w:val="en-US"/>
        </w:rPr>
        <w:t>ridium</w:t>
      </w:r>
      <w:r>
        <w:rPr>
          <w:rFonts w:ascii="Times New Roman" w:hAnsi="Times New Roman"/>
          <w:sz w:val="24"/>
          <w:lang w:val="en-GB"/>
        </w:rPr>
        <w:t xml:space="preserve"> nanoparticles</w:t>
      </w:r>
      <w:r w:rsidR="00276E02">
        <w:rPr>
          <w:rFonts w:ascii="Times New Roman" w:hAnsi="Times New Roman"/>
          <w:sz w:val="24"/>
          <w:lang w:val="en-GB"/>
        </w:rPr>
        <w:t xml:space="preserve"> UNDER E</w:t>
      </w:r>
      <w:r w:rsidR="00E823EF">
        <w:rPr>
          <w:rFonts w:ascii="Times New Roman" w:hAnsi="Times New Roman"/>
          <w:sz w:val="24"/>
          <w:lang w:val="en-GB"/>
        </w:rPr>
        <w:t>XC</w:t>
      </w:r>
      <w:r w:rsidR="00276E02">
        <w:rPr>
          <w:rFonts w:ascii="Times New Roman" w:hAnsi="Times New Roman"/>
          <w:sz w:val="24"/>
          <w:lang w:val="en-GB"/>
        </w:rPr>
        <w:t>ESS O</w:t>
      </w:r>
      <w:r w:rsidR="00276E02" w:rsidRPr="00276E02">
        <w:rPr>
          <w:rFonts w:ascii="Times New Roman" w:hAnsi="Times New Roman"/>
          <w:sz w:val="24"/>
          <w:vertAlign w:val="subscript"/>
          <w:lang w:val="en-GB"/>
        </w:rPr>
        <w:t>2</w:t>
      </w:r>
      <w:r w:rsidR="00276E02">
        <w:rPr>
          <w:rFonts w:ascii="Times New Roman" w:hAnsi="Times New Roman"/>
          <w:sz w:val="24"/>
          <w:lang w:val="en-GB"/>
        </w:rPr>
        <w:t xml:space="preserve"> CONDITIONS</w:t>
      </w:r>
      <w:r w:rsidR="00DB5D87">
        <w:rPr>
          <w:rFonts w:ascii="Times New Roman" w:hAnsi="Times New Roman"/>
          <w:sz w:val="24"/>
          <w:lang w:val="en-GB"/>
        </w:rPr>
        <w:t xml:space="preserve">: study of </w:t>
      </w:r>
      <w:r w:rsidR="00276E02">
        <w:rPr>
          <w:rFonts w:ascii="Times New Roman" w:hAnsi="Times New Roman"/>
          <w:sz w:val="24"/>
          <w:lang w:val="en-GB"/>
        </w:rPr>
        <w:t>RATE</w:t>
      </w:r>
      <w:r w:rsidR="00DB5D87">
        <w:rPr>
          <w:rFonts w:ascii="Times New Roman" w:hAnsi="Times New Roman"/>
          <w:sz w:val="24"/>
          <w:lang w:val="en-GB"/>
        </w:rPr>
        <w:t xml:space="preserve"> hysterisis phenomen</w:t>
      </w:r>
      <w:r w:rsidR="00276E02">
        <w:rPr>
          <w:rFonts w:ascii="Times New Roman" w:hAnsi="Times New Roman"/>
          <w:sz w:val="24"/>
          <w:lang w:val="en-GB"/>
        </w:rPr>
        <w:t>A</w:t>
      </w:r>
    </w:p>
    <w:p w14:paraId="33C82FF0" w14:textId="77777777" w:rsidR="00F502E6" w:rsidRPr="00CD273C" w:rsidRDefault="00F502E6" w:rsidP="00F502E6">
      <w:pPr>
        <w:pStyle w:val="Bodyofthedocument"/>
      </w:pPr>
    </w:p>
    <w:p w14:paraId="21E3E767" w14:textId="451DE5FD" w:rsidR="00F502E6" w:rsidRDefault="008A5F89" w:rsidP="00F502E6">
      <w:pPr>
        <w:pStyle w:val="AUTHOR"/>
        <w:rPr>
          <w:lang w:val="en-GB"/>
        </w:rPr>
      </w:pPr>
      <w:r>
        <w:rPr>
          <w:lang w:val="en-US"/>
        </w:rPr>
        <w:t>c. drosou</w:t>
      </w:r>
      <w:r w:rsidR="00122452">
        <w:rPr>
          <w:vertAlign w:val="superscript"/>
          <w:lang w:val="en-GB"/>
        </w:rPr>
        <w:t>1</w:t>
      </w:r>
      <w:r>
        <w:rPr>
          <w:vertAlign w:val="superscript"/>
          <w:lang w:val="en-GB"/>
        </w:rPr>
        <w:t>,</w:t>
      </w:r>
      <w:r w:rsidRPr="008A5F89">
        <w:rPr>
          <w:lang w:val="en-GB"/>
        </w:rPr>
        <w:t>*</w:t>
      </w:r>
      <w:r w:rsidR="00E549AE" w:rsidRPr="00E549AE">
        <w:rPr>
          <w:lang w:val="en-US"/>
        </w:rPr>
        <w:t>,</w:t>
      </w:r>
      <w:r w:rsidR="00F502E6" w:rsidRPr="00CD273C">
        <w:rPr>
          <w:lang w:val="en-GB"/>
        </w:rPr>
        <w:t xml:space="preserve"> </w:t>
      </w:r>
      <w:r w:rsidR="00762791">
        <w:rPr>
          <w:lang w:val="en-GB"/>
        </w:rPr>
        <w:t>A. STRAtakis</w:t>
      </w:r>
      <w:r w:rsidR="00762791">
        <w:rPr>
          <w:vertAlign w:val="superscript"/>
          <w:lang w:val="en-GB"/>
        </w:rPr>
        <w:t>2</w:t>
      </w:r>
      <w:r w:rsidR="00762791">
        <w:rPr>
          <w:vertAlign w:val="subscript"/>
          <w:lang w:val="en-GB"/>
        </w:rPr>
        <w:t>,</w:t>
      </w:r>
      <w:r w:rsidR="00833308">
        <w:rPr>
          <w:vertAlign w:val="subscript"/>
          <w:lang w:val="en-GB"/>
        </w:rPr>
        <w:t xml:space="preserve"> </w:t>
      </w:r>
      <w:r w:rsidR="00DB5D87">
        <w:rPr>
          <w:lang w:val="en-GB"/>
        </w:rPr>
        <w:t>T.V. FOUNTOULI</w:t>
      </w:r>
      <w:r w:rsidR="00DB5D87">
        <w:rPr>
          <w:vertAlign w:val="superscript"/>
          <w:lang w:val="en-GB"/>
        </w:rPr>
        <w:t>1</w:t>
      </w:r>
      <w:r w:rsidR="00833308">
        <w:rPr>
          <w:lang w:val="en-GB"/>
        </w:rPr>
        <w:t xml:space="preserve">, </w:t>
      </w:r>
      <w:r w:rsidR="00DB5D87">
        <w:rPr>
          <w:lang w:val="en-GB"/>
        </w:rPr>
        <w:t>G</w:t>
      </w:r>
      <w:r w:rsidR="005739DD">
        <w:rPr>
          <w:lang w:val="en-GB"/>
        </w:rPr>
        <w:t xml:space="preserve">. </w:t>
      </w:r>
      <w:r w:rsidR="00DB5D87">
        <w:rPr>
          <w:lang w:val="en-GB"/>
        </w:rPr>
        <w:t>artemakis</w:t>
      </w:r>
      <w:r w:rsidR="00DB5D87">
        <w:rPr>
          <w:vertAlign w:val="superscript"/>
          <w:lang w:val="en-GB"/>
        </w:rPr>
        <w:t>1</w:t>
      </w:r>
      <w:r w:rsidR="005739DD">
        <w:rPr>
          <w:lang w:val="en-GB"/>
        </w:rPr>
        <w:t xml:space="preserve">, </w:t>
      </w:r>
      <w:r w:rsidR="00B077D9">
        <w:rPr>
          <w:lang w:val="en-GB"/>
        </w:rPr>
        <w:t>n.d. charisiou</w:t>
      </w:r>
      <w:r w:rsidR="00DB5D87">
        <w:rPr>
          <w:vertAlign w:val="superscript"/>
          <w:lang w:val="en-GB"/>
        </w:rPr>
        <w:t>3</w:t>
      </w:r>
      <w:r w:rsidR="005739DD">
        <w:rPr>
          <w:lang w:val="en-GB"/>
        </w:rPr>
        <w:t xml:space="preserve">, </w:t>
      </w:r>
      <w:r w:rsidR="00122452">
        <w:rPr>
          <w:lang w:val="en-GB"/>
        </w:rPr>
        <w:t>m.a goula</w:t>
      </w:r>
      <w:r w:rsidR="00DB5D87">
        <w:rPr>
          <w:vertAlign w:val="superscript"/>
          <w:lang w:val="en-GB"/>
        </w:rPr>
        <w:t>3</w:t>
      </w:r>
      <w:r w:rsidR="00276E02">
        <w:rPr>
          <w:vertAlign w:val="superscript"/>
          <w:lang w:val="en-GB"/>
        </w:rPr>
        <w:t>,</w:t>
      </w:r>
      <w:r w:rsidR="00276E02" w:rsidRPr="00276E02">
        <w:rPr>
          <w:lang w:val="en-GB"/>
        </w:rPr>
        <w:t>*</w:t>
      </w:r>
      <w:r w:rsidR="00276E02">
        <w:rPr>
          <w:lang w:val="en-GB"/>
        </w:rPr>
        <w:t>, i.v. yentekakis</w:t>
      </w:r>
      <w:r w:rsidR="00122452">
        <w:rPr>
          <w:vertAlign w:val="superscript"/>
          <w:lang w:val="en-GB"/>
        </w:rPr>
        <w:t>1</w:t>
      </w:r>
      <w:r w:rsidR="00276E02">
        <w:rPr>
          <w:vertAlign w:val="superscript"/>
          <w:lang w:val="en-GB"/>
        </w:rPr>
        <w:t>,</w:t>
      </w:r>
      <w:r w:rsidR="00276E02" w:rsidRPr="00276E02">
        <w:rPr>
          <w:lang w:val="en-GB"/>
        </w:rPr>
        <w:t>*</w:t>
      </w:r>
    </w:p>
    <w:p w14:paraId="5D87FAF5" w14:textId="77777777" w:rsidR="00122452" w:rsidRDefault="00122452" w:rsidP="00122452">
      <w:pPr>
        <w:rPr>
          <w:sz w:val="18"/>
          <w:vertAlign w:val="superscript"/>
          <w:lang w:val="tr-TR"/>
        </w:rPr>
      </w:pPr>
    </w:p>
    <w:p w14:paraId="1AA32E9B" w14:textId="76094AD0" w:rsidR="00122452" w:rsidRDefault="00122452" w:rsidP="00122452">
      <w:pPr>
        <w:rPr>
          <w:iCs/>
          <w:sz w:val="18"/>
          <w:szCs w:val="18"/>
          <w:lang w:val="en-GB"/>
        </w:rPr>
      </w:pPr>
      <w:r>
        <w:rPr>
          <w:sz w:val="18"/>
          <w:vertAlign w:val="superscript"/>
          <w:lang w:val="tr-TR"/>
        </w:rPr>
        <w:t>1</w:t>
      </w:r>
      <w:r w:rsidRPr="00BA5002">
        <w:rPr>
          <w:iCs/>
          <w:sz w:val="18"/>
          <w:szCs w:val="18"/>
          <w:lang w:val="en-GB"/>
        </w:rPr>
        <w:t>Laboratory of Physical Chemistry &amp; Chemical Processes, School of Environmental Engineering, Technical University of Crete, GR-73100 Chania, Greece</w:t>
      </w:r>
    </w:p>
    <w:p w14:paraId="013FA42A" w14:textId="6D757659" w:rsidR="00122452" w:rsidRDefault="00122452" w:rsidP="00122452">
      <w:pPr>
        <w:rPr>
          <w:iCs/>
          <w:sz w:val="18"/>
          <w:szCs w:val="18"/>
          <w:lang w:val="en-GB"/>
        </w:rPr>
      </w:pPr>
      <w:r w:rsidRPr="00BA5002">
        <w:rPr>
          <w:iCs/>
          <w:sz w:val="18"/>
          <w:szCs w:val="18"/>
          <w:vertAlign w:val="superscript"/>
          <w:lang w:val="en-GB"/>
        </w:rPr>
        <w:t>2</w:t>
      </w:r>
      <w:r w:rsidRPr="00102BC8">
        <w:rPr>
          <w:iCs/>
          <w:sz w:val="18"/>
          <w:szCs w:val="18"/>
          <w:vertAlign w:val="superscript"/>
          <w:lang w:val="en-US"/>
        </w:rPr>
        <w:t xml:space="preserve"> </w:t>
      </w:r>
      <w:r w:rsidR="00762791" w:rsidRPr="005739DD">
        <w:rPr>
          <w:iCs/>
          <w:sz w:val="18"/>
          <w:szCs w:val="18"/>
          <w:lang w:val="en-GB"/>
        </w:rPr>
        <w:t xml:space="preserve">School of Mineral Resources Engineering, Technical University of Crete, </w:t>
      </w:r>
      <w:r w:rsidR="00762791" w:rsidRPr="00BA5002">
        <w:rPr>
          <w:iCs/>
          <w:sz w:val="18"/>
          <w:szCs w:val="18"/>
          <w:lang w:val="en-GB"/>
        </w:rPr>
        <w:t xml:space="preserve">GR-73100 Chania, Greece </w:t>
      </w:r>
    </w:p>
    <w:p w14:paraId="234CB2C3" w14:textId="50594CDF" w:rsidR="005739DD" w:rsidRPr="005739DD" w:rsidRDefault="00DB5D87" w:rsidP="00122452">
      <w:pPr>
        <w:rPr>
          <w:iCs/>
          <w:sz w:val="18"/>
          <w:szCs w:val="18"/>
          <w:lang w:val="en-GB"/>
        </w:rPr>
      </w:pPr>
      <w:r>
        <w:rPr>
          <w:iCs/>
          <w:sz w:val="18"/>
          <w:szCs w:val="18"/>
          <w:vertAlign w:val="superscript"/>
          <w:lang w:val="en-GB"/>
        </w:rPr>
        <w:t>3</w:t>
      </w:r>
      <w:r w:rsidR="005739DD">
        <w:rPr>
          <w:iCs/>
          <w:sz w:val="18"/>
          <w:szCs w:val="18"/>
          <w:lang w:val="en-GB"/>
        </w:rPr>
        <w:t xml:space="preserve"> </w:t>
      </w:r>
      <w:r w:rsidR="00762791" w:rsidRPr="00BA5002">
        <w:rPr>
          <w:iCs/>
          <w:sz w:val="18"/>
          <w:szCs w:val="18"/>
          <w:lang w:val="en-GB"/>
        </w:rPr>
        <w:t>Laboratory of Alternative Fuels and Environmental Catalysis (LAFEC), Department of Chemical Engineering, University of Western Macedonia, GR-50100, Greece</w:t>
      </w:r>
    </w:p>
    <w:p w14:paraId="6340C272" w14:textId="383022F0" w:rsidR="008A5F89" w:rsidRPr="008A5F89" w:rsidRDefault="00122452" w:rsidP="008A5F89">
      <w:pPr>
        <w:spacing w:before="120"/>
        <w:rPr>
          <w:sz w:val="18"/>
        </w:rPr>
      </w:pPr>
      <w:r w:rsidRPr="006C3F3F">
        <w:rPr>
          <w:sz w:val="18"/>
        </w:rPr>
        <w:t>*</w:t>
      </w:r>
      <w:r>
        <w:rPr>
          <w:sz w:val="18"/>
        </w:rPr>
        <w:t>corresponding author</w:t>
      </w:r>
      <w:r w:rsidR="008A5F89">
        <w:rPr>
          <w:sz w:val="18"/>
        </w:rPr>
        <w:t>s</w:t>
      </w:r>
      <w:r w:rsidRPr="006C3F3F">
        <w:rPr>
          <w:sz w:val="18"/>
        </w:rPr>
        <w:t>:</w:t>
      </w:r>
      <w:r w:rsidR="008A5F89">
        <w:rPr>
          <w:sz w:val="18"/>
        </w:rPr>
        <w:t xml:space="preserve"> I.V. Yentekakis (</w:t>
      </w:r>
      <w:hyperlink r:id="rId5" w:history="1">
        <w:r w:rsidRPr="00E872B4">
          <w:rPr>
            <w:rStyle w:val="-"/>
            <w:sz w:val="18"/>
          </w:rPr>
          <w:t>yyentek@isc.tuc.gr</w:t>
        </w:r>
      </w:hyperlink>
      <w:r w:rsidR="008A5F89">
        <w:rPr>
          <w:sz w:val="18"/>
        </w:rPr>
        <w:t>); C. Drosou (</w:t>
      </w:r>
      <w:hyperlink r:id="rId6" w:history="1">
        <w:r w:rsidR="008A5F89" w:rsidRPr="007C5316">
          <w:rPr>
            <w:rStyle w:val="-"/>
            <w:sz w:val="18"/>
          </w:rPr>
          <w:t>EDrodou@isc.tuc.gr</w:t>
        </w:r>
      </w:hyperlink>
      <w:r w:rsidR="008A5F89">
        <w:rPr>
          <w:sz w:val="18"/>
        </w:rPr>
        <w:t>); M.A. Goula (</w:t>
      </w:r>
      <w:hyperlink r:id="rId7" w:history="1">
        <w:r w:rsidR="008A5F89" w:rsidRPr="007C5316">
          <w:rPr>
            <w:rStyle w:val="-"/>
            <w:sz w:val="18"/>
          </w:rPr>
          <w:t>mgoula@uowm.gr</w:t>
        </w:r>
      </w:hyperlink>
      <w:r w:rsidR="008A5F89">
        <w:rPr>
          <w:sz w:val="18"/>
        </w:rPr>
        <w:t xml:space="preserve">) </w:t>
      </w:r>
    </w:p>
    <w:p w14:paraId="1686F647" w14:textId="5255F0FA" w:rsidR="00F502E6" w:rsidRDefault="00F502E6" w:rsidP="00F502E6">
      <w:pPr>
        <w:pStyle w:val="Affiliations"/>
        <w:rPr>
          <w:lang w:val="en-GB"/>
        </w:rPr>
      </w:pPr>
    </w:p>
    <w:p w14:paraId="3AEA4883" w14:textId="5FB058C2" w:rsidR="00F502E6" w:rsidRDefault="00F502E6" w:rsidP="00DE0209">
      <w:pPr>
        <w:pStyle w:val="Keywords"/>
        <w:rPr>
          <w:vertAlign w:val="subscript"/>
        </w:rPr>
      </w:pPr>
      <w:r w:rsidRPr="00CD273C">
        <w:t xml:space="preserve">Keywords: </w:t>
      </w:r>
      <w:r w:rsidR="001D4BC3">
        <w:t>CO oxidation</w:t>
      </w:r>
      <w:r w:rsidRPr="00CD273C">
        <w:t xml:space="preserve">, </w:t>
      </w:r>
      <w:r w:rsidR="00DB5D87">
        <w:rPr>
          <w:lang w:val="en-US"/>
        </w:rPr>
        <w:t>ACZ supports</w:t>
      </w:r>
      <w:r w:rsidRPr="00CD273C">
        <w:t xml:space="preserve">, </w:t>
      </w:r>
      <w:r w:rsidR="008872D2">
        <w:t>iridium</w:t>
      </w:r>
      <w:r w:rsidR="001D4BC3">
        <w:t xml:space="preserve"> catalysts</w:t>
      </w:r>
      <w:r w:rsidR="008F74B8">
        <w:t xml:space="preserve">, </w:t>
      </w:r>
      <w:r w:rsidR="000D5374">
        <w:t>rate hysteresis, multiple steady states</w:t>
      </w:r>
    </w:p>
    <w:p w14:paraId="383D5588" w14:textId="77777777" w:rsidR="00271269" w:rsidRDefault="00271269" w:rsidP="00271269">
      <w:pPr>
        <w:rPr>
          <w:lang w:val="en-US"/>
        </w:rPr>
      </w:pPr>
    </w:p>
    <w:p w14:paraId="47FE50D5" w14:textId="29619CF9" w:rsidR="003835D6" w:rsidRDefault="00276E02" w:rsidP="00271269">
      <w:pPr>
        <w:rPr>
          <w:lang w:val="en-US" w:eastAsia="tr-TR"/>
        </w:rPr>
      </w:pPr>
      <w:r>
        <w:rPr>
          <w:lang w:val="tr-TR" w:eastAsia="tr-TR"/>
        </w:rPr>
        <w:t>Here we report on</w:t>
      </w:r>
      <w:r w:rsidR="00271269" w:rsidRPr="00271269">
        <w:rPr>
          <w:lang w:val="tr-TR" w:eastAsia="tr-TR"/>
        </w:rPr>
        <w:t xml:space="preserve"> </w:t>
      </w:r>
      <w:r w:rsidR="003835D6">
        <w:rPr>
          <w:lang w:val="en-US" w:eastAsia="tr-TR"/>
        </w:rPr>
        <w:t>CO oxidation</w:t>
      </w:r>
      <w:r>
        <w:rPr>
          <w:lang w:val="en-US" w:eastAsia="tr-TR"/>
        </w:rPr>
        <w:t xml:space="preserve"> reaction</w:t>
      </w:r>
      <w:r w:rsidR="003835D6">
        <w:rPr>
          <w:lang w:val="en-US" w:eastAsia="tr-TR"/>
        </w:rPr>
        <w:t xml:space="preserve"> </w:t>
      </w:r>
      <w:r w:rsidR="008F74B8">
        <w:rPr>
          <w:lang w:val="en-US" w:eastAsia="tr-TR"/>
        </w:rPr>
        <w:t>under O</w:t>
      </w:r>
      <w:r w:rsidR="008F74B8">
        <w:rPr>
          <w:vertAlign w:val="subscript"/>
          <w:lang w:val="en-US" w:eastAsia="tr-TR"/>
        </w:rPr>
        <w:t>2</w:t>
      </w:r>
      <w:r w:rsidR="008F74B8">
        <w:rPr>
          <w:lang w:val="en-US" w:eastAsia="tr-TR"/>
        </w:rPr>
        <w:t xml:space="preserve"> excess</w:t>
      </w:r>
      <w:r>
        <w:rPr>
          <w:lang w:val="en-US" w:eastAsia="tr-TR"/>
        </w:rPr>
        <w:t xml:space="preserve"> conditions over </w:t>
      </w:r>
      <w:r w:rsidR="003835D6">
        <w:rPr>
          <w:lang w:val="en-US" w:eastAsia="tr-TR"/>
        </w:rPr>
        <w:t xml:space="preserve">Ir nanoparticles </w:t>
      </w:r>
      <w:r>
        <w:rPr>
          <w:lang w:val="en-US" w:eastAsia="tr-TR"/>
        </w:rPr>
        <w:t>dispersed</w:t>
      </w:r>
      <w:r w:rsidR="003835D6">
        <w:rPr>
          <w:lang w:val="en-US" w:eastAsia="tr-TR"/>
        </w:rPr>
        <w:t xml:space="preserve"> </w:t>
      </w:r>
      <w:r w:rsidR="00E820F6">
        <w:rPr>
          <w:lang w:val="en-US" w:eastAsia="tr-TR"/>
        </w:rPr>
        <w:t xml:space="preserve">on </w:t>
      </w:r>
      <w:r w:rsidR="003835D6" w:rsidRPr="00271269">
        <w:rPr>
          <w:lang w:val="tr-TR" w:eastAsia="tr-TR"/>
        </w:rPr>
        <w:t>Al</w:t>
      </w:r>
      <w:r w:rsidR="003835D6" w:rsidRPr="00271269">
        <w:rPr>
          <w:vertAlign w:val="subscript"/>
          <w:lang w:val="tr-TR" w:eastAsia="tr-TR"/>
        </w:rPr>
        <w:t>2</w:t>
      </w:r>
      <w:r w:rsidR="003835D6" w:rsidRPr="00271269">
        <w:rPr>
          <w:lang w:val="tr-TR" w:eastAsia="tr-TR"/>
        </w:rPr>
        <w:t>O</w:t>
      </w:r>
      <w:r w:rsidR="003835D6" w:rsidRPr="00271269">
        <w:rPr>
          <w:vertAlign w:val="subscript"/>
          <w:lang w:val="tr-TR" w:eastAsia="tr-TR"/>
        </w:rPr>
        <w:t>3</w:t>
      </w:r>
      <w:r w:rsidR="003835D6" w:rsidRPr="00271269">
        <w:rPr>
          <w:lang w:val="tr-TR" w:eastAsia="tr-TR"/>
        </w:rPr>
        <w:t>-Ce</w:t>
      </w:r>
      <w:r w:rsidR="003835D6" w:rsidRPr="00271269">
        <w:rPr>
          <w:vertAlign w:val="subscript"/>
          <w:lang w:val="tr-TR" w:eastAsia="tr-TR"/>
        </w:rPr>
        <w:t>x</w:t>
      </w:r>
      <w:r w:rsidR="003835D6" w:rsidRPr="00271269">
        <w:rPr>
          <w:lang w:val="tr-TR" w:eastAsia="tr-TR"/>
        </w:rPr>
        <w:t>-Zr</w:t>
      </w:r>
      <w:r w:rsidR="003835D6" w:rsidRPr="00271269">
        <w:rPr>
          <w:vertAlign w:val="subscript"/>
          <w:lang w:val="tr-TR" w:eastAsia="tr-TR"/>
        </w:rPr>
        <w:t>1-x</w:t>
      </w:r>
      <w:r w:rsidR="003835D6" w:rsidRPr="00271269">
        <w:rPr>
          <w:lang w:val="tr-TR" w:eastAsia="tr-TR"/>
        </w:rPr>
        <w:t>O</w:t>
      </w:r>
      <w:r w:rsidR="003835D6" w:rsidRPr="00271269">
        <w:rPr>
          <w:vertAlign w:val="subscript"/>
          <w:lang w:val="tr-TR" w:eastAsia="tr-TR"/>
        </w:rPr>
        <w:t>2</w:t>
      </w:r>
      <w:r w:rsidR="003835D6" w:rsidRPr="00271269">
        <w:rPr>
          <w:lang w:val="tr-TR" w:eastAsia="tr-TR"/>
        </w:rPr>
        <w:t xml:space="preserve"> (ACZ, x=0, 0.25, 0.5 and 0.75) mixed oxide</w:t>
      </w:r>
      <w:r>
        <w:rPr>
          <w:lang w:val="tr-TR" w:eastAsia="tr-TR"/>
        </w:rPr>
        <w:t xml:space="preserve"> supports</w:t>
      </w:r>
      <w:r w:rsidR="000B1A6C">
        <w:rPr>
          <w:lang w:val="tr-TR" w:eastAsia="tr-TR"/>
        </w:rPr>
        <w:t xml:space="preserve">, </w:t>
      </w:r>
      <w:r w:rsidR="000B1A6C">
        <w:rPr>
          <w:lang w:val="en-US" w:eastAsia="tr-TR"/>
        </w:rPr>
        <w:t>which have</w:t>
      </w:r>
      <w:r w:rsidR="003835D6" w:rsidRPr="00271269">
        <w:rPr>
          <w:lang w:val="tr-TR" w:eastAsia="tr-TR"/>
        </w:rPr>
        <w:t xml:space="preserve"> high oxygen ion lability</w:t>
      </w:r>
      <w:r w:rsidR="00C863DC">
        <w:rPr>
          <w:lang w:val="tr-TR" w:eastAsia="tr-TR"/>
        </w:rPr>
        <w:t>/mobility</w:t>
      </w:r>
      <w:r w:rsidR="003835D6" w:rsidRPr="00271269">
        <w:rPr>
          <w:lang w:val="tr-TR" w:eastAsia="tr-TR"/>
        </w:rPr>
        <w:t xml:space="preserve"> and surface oxygen vacancie</w:t>
      </w:r>
      <w:r w:rsidR="003835D6">
        <w:rPr>
          <w:lang w:val="tr-TR" w:eastAsia="tr-TR"/>
        </w:rPr>
        <w:t xml:space="preserve">s. </w:t>
      </w:r>
      <w:r w:rsidR="000B1A6C">
        <w:rPr>
          <w:lang w:val="en-US" w:eastAsia="tr-TR"/>
        </w:rPr>
        <w:t xml:space="preserve">Multiple steady states of reaction rate </w:t>
      </w:r>
      <w:r w:rsidR="000B1A6C" w:rsidRPr="000B1A6C">
        <w:rPr>
          <w:i/>
          <w:lang w:val="en-US" w:eastAsia="tr-TR"/>
        </w:rPr>
        <w:t>versus</w:t>
      </w:r>
      <w:r w:rsidR="000B1A6C">
        <w:rPr>
          <w:lang w:val="en-US" w:eastAsia="tr-TR"/>
        </w:rPr>
        <w:t xml:space="preserve"> temperature</w:t>
      </w:r>
      <w:r w:rsidR="009458C7">
        <w:rPr>
          <w:lang w:val="en-US" w:eastAsia="tr-TR"/>
        </w:rPr>
        <w:t>,</w:t>
      </w:r>
      <w:r w:rsidR="000B1A6C">
        <w:rPr>
          <w:lang w:val="en-US" w:eastAsia="tr-TR"/>
        </w:rPr>
        <w:t xml:space="preserve"> </w:t>
      </w:r>
      <w:r w:rsidR="009458C7">
        <w:rPr>
          <w:lang w:val="en-US" w:eastAsia="tr-TR"/>
        </w:rPr>
        <w:t xml:space="preserve">the so-called rate </w:t>
      </w:r>
      <w:r w:rsidR="009458C7" w:rsidRPr="009458C7">
        <w:rPr>
          <w:i/>
          <w:lang w:val="en-US" w:eastAsia="tr-TR"/>
        </w:rPr>
        <w:t>hysteresis</w:t>
      </w:r>
      <w:r w:rsidR="009458C7">
        <w:rPr>
          <w:lang w:val="en-US" w:eastAsia="tr-TR"/>
        </w:rPr>
        <w:t xml:space="preserve"> phenomena, have been observed</w:t>
      </w:r>
      <w:r w:rsidR="000B1A6C">
        <w:rPr>
          <w:lang w:val="en-US" w:eastAsia="tr-TR"/>
        </w:rPr>
        <w:t xml:space="preserve"> during an increasing-decreasing cycle of temperature at the interval </w:t>
      </w:r>
      <w:r w:rsidR="00C863DC">
        <w:rPr>
          <w:lang w:val="en-US" w:eastAsia="tr-TR"/>
        </w:rPr>
        <w:t xml:space="preserve">of </w:t>
      </w:r>
      <w:r w:rsidR="00820B71">
        <w:rPr>
          <w:lang w:val="en-US" w:eastAsia="tr-TR"/>
        </w:rPr>
        <w:t>50</w:t>
      </w:r>
      <w:r w:rsidR="000B1A6C">
        <w:rPr>
          <w:lang w:val="en-US" w:eastAsia="tr-TR"/>
        </w:rPr>
        <w:t>-400</w:t>
      </w:r>
      <w:r w:rsidR="00820B71">
        <w:rPr>
          <w:lang w:val="en-US" w:eastAsia="tr-TR"/>
        </w:rPr>
        <w:t xml:space="preserve"> </w:t>
      </w:r>
      <w:r w:rsidR="000B1A6C" w:rsidRPr="00820B71">
        <w:rPr>
          <w:vertAlign w:val="superscript"/>
          <w:lang w:val="en-US" w:eastAsia="tr-TR"/>
        </w:rPr>
        <w:t>o</w:t>
      </w:r>
      <w:r w:rsidR="000B1A6C">
        <w:rPr>
          <w:lang w:val="en-US" w:eastAsia="tr-TR"/>
        </w:rPr>
        <w:t>C</w:t>
      </w:r>
      <w:r w:rsidR="00820B71">
        <w:rPr>
          <w:lang w:val="en-US" w:eastAsia="tr-TR"/>
        </w:rPr>
        <w:t xml:space="preserve">. </w:t>
      </w:r>
      <w:r w:rsidR="009458C7" w:rsidRPr="009458C7">
        <w:rPr>
          <w:lang w:val="en-US" w:eastAsia="tr-TR"/>
        </w:rPr>
        <w:t xml:space="preserve">Particular emphasis was </w:t>
      </w:r>
      <w:r w:rsidR="009458C7">
        <w:rPr>
          <w:lang w:val="en-US" w:eastAsia="tr-TR"/>
        </w:rPr>
        <w:t>invoked</w:t>
      </w:r>
      <w:r w:rsidR="009458C7" w:rsidRPr="009458C7">
        <w:rPr>
          <w:lang w:val="en-US" w:eastAsia="tr-TR"/>
        </w:rPr>
        <w:t xml:space="preserve"> on understanding the origin of these phenomena and their correlation with the nature of the supporting materials in relation to the oxygen storage capacity characteristics of the latter and the consequent metal-</w:t>
      </w:r>
      <w:r w:rsidR="009458C7">
        <w:rPr>
          <w:lang w:val="en-US" w:eastAsia="tr-TR"/>
        </w:rPr>
        <w:t>support</w:t>
      </w:r>
      <w:r w:rsidR="009458C7" w:rsidRPr="009458C7">
        <w:rPr>
          <w:lang w:val="en-US" w:eastAsia="tr-TR"/>
        </w:rPr>
        <w:t xml:space="preserve"> interactions.</w:t>
      </w:r>
      <w:r w:rsidR="009458C7">
        <w:rPr>
          <w:lang w:val="en-US" w:eastAsia="tr-TR"/>
        </w:rPr>
        <w:t xml:space="preserve"> </w:t>
      </w:r>
      <w:r w:rsidR="00820B71">
        <w:rPr>
          <w:lang w:val="en-US" w:eastAsia="tr-TR"/>
        </w:rPr>
        <w:t xml:space="preserve">The effect of catalyst preparation method on CO oxidation </w:t>
      </w:r>
      <w:r w:rsidR="009458C7">
        <w:rPr>
          <w:lang w:val="en-US" w:eastAsia="tr-TR"/>
        </w:rPr>
        <w:t>activity</w:t>
      </w:r>
      <w:r w:rsidR="00820B71">
        <w:rPr>
          <w:lang w:val="en-US" w:eastAsia="tr-TR"/>
        </w:rPr>
        <w:t xml:space="preserve"> and on hysteresis phenomena has been also involved in the present study. </w:t>
      </w:r>
      <w:r w:rsidR="009458C7">
        <w:rPr>
          <w:lang w:val="en-US" w:eastAsia="tr-TR"/>
        </w:rPr>
        <w:t>For this purpose</w:t>
      </w:r>
      <w:r w:rsidR="00820B71">
        <w:rPr>
          <w:lang w:val="en-US" w:eastAsia="tr-TR"/>
        </w:rPr>
        <w:t>, the</w:t>
      </w:r>
      <w:r w:rsidR="000B1A6C">
        <w:rPr>
          <w:lang w:val="en-US" w:eastAsia="tr-TR"/>
        </w:rPr>
        <w:t xml:space="preserve"> </w:t>
      </w:r>
      <w:r w:rsidR="008F74B8">
        <w:rPr>
          <w:lang w:val="en-US" w:eastAsia="tr-TR"/>
        </w:rPr>
        <w:t>ACZ</w:t>
      </w:r>
      <w:r w:rsidR="00E820F6" w:rsidRPr="00E820F6">
        <w:rPr>
          <w:lang w:val="en-US" w:eastAsia="tr-TR"/>
        </w:rPr>
        <w:t xml:space="preserve"> </w:t>
      </w:r>
      <w:r w:rsidR="00E820F6">
        <w:rPr>
          <w:lang w:val="en-US" w:eastAsia="tr-TR"/>
        </w:rPr>
        <w:t>supports</w:t>
      </w:r>
      <w:r w:rsidR="00E05744">
        <w:rPr>
          <w:lang w:val="en-US" w:eastAsia="tr-TR"/>
        </w:rPr>
        <w:t xml:space="preserve"> </w:t>
      </w:r>
      <w:r w:rsidR="00820B71">
        <w:rPr>
          <w:lang w:val="en-US" w:eastAsia="tr-TR"/>
        </w:rPr>
        <w:t xml:space="preserve">were </w:t>
      </w:r>
      <w:r w:rsidR="008F74B8">
        <w:rPr>
          <w:lang w:val="en-US" w:eastAsia="tr-TR"/>
        </w:rPr>
        <w:t>prepared following two synthesis methods</w:t>
      </w:r>
      <w:r w:rsidR="00E05744">
        <w:rPr>
          <w:lang w:val="en-US" w:eastAsia="tr-TR"/>
        </w:rPr>
        <w:t xml:space="preserve">, </w:t>
      </w:r>
      <w:r w:rsidR="00E05744" w:rsidRPr="00271269">
        <w:rPr>
          <w:lang w:val="tr-TR" w:eastAsia="tr-TR"/>
        </w:rPr>
        <w:t>co-precipitation</w:t>
      </w:r>
      <w:r w:rsidR="00820B71">
        <w:rPr>
          <w:lang w:val="tr-TR" w:eastAsia="tr-TR"/>
        </w:rPr>
        <w:t xml:space="preserve"> and hydrothermal, </w:t>
      </w:r>
      <w:r w:rsidR="00E05744" w:rsidRPr="00E05744">
        <w:rPr>
          <w:lang w:val="en-US" w:eastAsia="tr-TR"/>
        </w:rPr>
        <w:t xml:space="preserve">while </w:t>
      </w:r>
      <w:r w:rsidR="00820B71">
        <w:rPr>
          <w:lang w:val="en-US" w:eastAsia="tr-TR"/>
        </w:rPr>
        <w:t xml:space="preserve">in both cases </w:t>
      </w:r>
      <w:r w:rsidR="00E05744">
        <w:rPr>
          <w:lang w:val="en-US" w:eastAsia="tr-TR"/>
        </w:rPr>
        <w:t>Ir</w:t>
      </w:r>
      <w:r w:rsidR="00E05744" w:rsidRPr="00E05744">
        <w:rPr>
          <w:lang w:val="en-US" w:eastAsia="tr-TR"/>
        </w:rPr>
        <w:t xml:space="preserve"> was </w:t>
      </w:r>
      <w:r w:rsidR="009458C7">
        <w:rPr>
          <w:lang w:val="en-US" w:eastAsia="tr-TR"/>
        </w:rPr>
        <w:t>dispersed on the supports</w:t>
      </w:r>
      <w:r w:rsidR="00E05744" w:rsidRPr="00E05744">
        <w:rPr>
          <w:lang w:val="en-US" w:eastAsia="tr-TR"/>
        </w:rPr>
        <w:t xml:space="preserve"> by the </w:t>
      </w:r>
      <w:r w:rsidR="00E05744">
        <w:rPr>
          <w:lang w:val="en-US" w:eastAsia="tr-TR"/>
        </w:rPr>
        <w:t xml:space="preserve">wet </w:t>
      </w:r>
      <w:r w:rsidR="00E05744" w:rsidRPr="00E05744">
        <w:rPr>
          <w:lang w:val="en-US" w:eastAsia="tr-TR"/>
        </w:rPr>
        <w:t>impregnation</w:t>
      </w:r>
      <w:r w:rsidR="00820B71">
        <w:rPr>
          <w:lang w:val="en-US" w:eastAsia="tr-TR"/>
        </w:rPr>
        <w:t xml:space="preserve"> method</w:t>
      </w:r>
      <w:r w:rsidR="00E05744">
        <w:rPr>
          <w:lang w:val="tr-TR" w:eastAsia="tr-TR"/>
        </w:rPr>
        <w:t xml:space="preserve">. </w:t>
      </w:r>
      <w:r w:rsidR="00B811CE">
        <w:rPr>
          <w:lang w:val="tr-TR" w:eastAsia="tr-TR"/>
        </w:rPr>
        <w:t>Several protocols of kinetic experiments were designed to shed light on the aforementioned phenomena: (i)</w:t>
      </w:r>
      <w:r w:rsidR="00E820F6" w:rsidRPr="00E820F6">
        <w:rPr>
          <w:lang w:val="en-US" w:eastAsia="tr-TR"/>
        </w:rPr>
        <w:t xml:space="preserve"> </w:t>
      </w:r>
      <w:r w:rsidR="00B811CE">
        <w:rPr>
          <w:lang w:val="en-US" w:eastAsia="tr-TR"/>
        </w:rPr>
        <w:t>A series of</w:t>
      </w:r>
      <w:r w:rsidR="00853C54">
        <w:rPr>
          <w:lang w:val="en-US" w:eastAsia="tr-TR"/>
        </w:rPr>
        <w:t xml:space="preserve"> cyclic experiments, i.e.</w:t>
      </w:r>
      <w:r w:rsidR="00B811CE">
        <w:rPr>
          <w:lang w:val="en-US" w:eastAsia="tr-TR"/>
        </w:rPr>
        <w:t xml:space="preserve"> ignition (light-off) followed by extinction (light-out) </w:t>
      </w:r>
      <w:r w:rsidR="00B811CE" w:rsidRPr="00271269">
        <w:rPr>
          <w:lang w:val="tr-TR" w:eastAsia="tr-TR"/>
        </w:rPr>
        <w:t xml:space="preserve">at the temperature range </w:t>
      </w:r>
      <w:r w:rsidR="00B811CE">
        <w:rPr>
          <w:lang w:val="tr-TR" w:eastAsia="tr-TR"/>
        </w:rPr>
        <w:t xml:space="preserve">of </w:t>
      </w:r>
      <w:r w:rsidR="00B811CE" w:rsidRPr="00271269">
        <w:rPr>
          <w:lang w:val="tr-TR" w:eastAsia="tr-TR"/>
        </w:rPr>
        <w:t>50-400</w:t>
      </w:r>
      <w:r w:rsidR="00B811CE" w:rsidRPr="00271269">
        <w:rPr>
          <w:vertAlign w:val="superscript"/>
          <w:lang w:val="tr-TR" w:eastAsia="tr-TR"/>
        </w:rPr>
        <w:t>o</w:t>
      </w:r>
      <w:r w:rsidR="00B811CE" w:rsidRPr="00271269">
        <w:rPr>
          <w:lang w:val="tr-TR" w:eastAsia="tr-TR"/>
        </w:rPr>
        <w:t>C</w:t>
      </w:r>
      <w:r w:rsidR="00B811CE">
        <w:rPr>
          <w:lang w:val="en-US" w:eastAsia="tr-TR"/>
        </w:rPr>
        <w:t xml:space="preserve"> and </w:t>
      </w:r>
      <w:r w:rsidR="00853C54">
        <w:rPr>
          <w:lang w:val="en-US" w:eastAsia="tr-TR"/>
        </w:rPr>
        <w:t xml:space="preserve">constant </w:t>
      </w:r>
      <w:r w:rsidR="00B811CE">
        <w:rPr>
          <w:lang w:val="en-US" w:eastAsia="tr-TR"/>
        </w:rPr>
        <w:t xml:space="preserve">reactor feed conditions </w:t>
      </w:r>
      <w:r w:rsidR="00853C54">
        <w:rPr>
          <w:lang w:val="en-US" w:eastAsia="tr-TR"/>
        </w:rPr>
        <w:t>(</w:t>
      </w:r>
      <w:r w:rsidR="00E05744" w:rsidRPr="00271269">
        <w:rPr>
          <w:lang w:val="tr-TR" w:eastAsia="tr-TR"/>
        </w:rPr>
        <w:t>1.0% v/v CO, 5.0% v/v O</w:t>
      </w:r>
      <w:r w:rsidR="00E05744" w:rsidRPr="00271269">
        <w:rPr>
          <w:vertAlign w:val="subscript"/>
          <w:lang w:val="tr-TR" w:eastAsia="tr-TR"/>
        </w:rPr>
        <w:t>2</w:t>
      </w:r>
      <w:r w:rsidR="00E05744">
        <w:rPr>
          <w:lang w:val="tr-TR" w:eastAsia="tr-TR"/>
        </w:rPr>
        <w:t xml:space="preserve"> balanced with He, F</w:t>
      </w:r>
      <w:r w:rsidR="00E05744">
        <w:rPr>
          <w:vertAlign w:val="subscript"/>
          <w:lang w:val="tr-TR" w:eastAsia="tr-TR"/>
        </w:rPr>
        <w:t>T</w:t>
      </w:r>
      <w:r w:rsidR="00E05744">
        <w:rPr>
          <w:lang w:val="tr-TR" w:eastAsia="tr-TR"/>
        </w:rPr>
        <w:t xml:space="preserve">=160 mL/min, </w:t>
      </w:r>
      <w:r w:rsidR="00E05744">
        <w:rPr>
          <w:sz w:val="21"/>
          <w:szCs w:val="21"/>
          <w:lang w:val="en-US"/>
        </w:rPr>
        <w:t>wGHSV</w:t>
      </w:r>
      <w:r w:rsidR="00E05744" w:rsidRPr="00E05744">
        <w:rPr>
          <w:sz w:val="21"/>
          <w:szCs w:val="21"/>
          <w:lang w:val="en-US"/>
        </w:rPr>
        <w:t xml:space="preserve">=320000 </w:t>
      </w:r>
      <w:r w:rsidR="00E05744">
        <w:rPr>
          <w:sz w:val="21"/>
          <w:szCs w:val="21"/>
          <w:lang w:val="en-US"/>
        </w:rPr>
        <w:t>mL</w:t>
      </w:r>
      <w:r w:rsidR="00E05744" w:rsidRPr="00E05744">
        <w:rPr>
          <w:sz w:val="21"/>
          <w:szCs w:val="21"/>
          <w:lang w:val="en-US"/>
        </w:rPr>
        <w:t>/</w:t>
      </w:r>
      <w:r w:rsidR="00E05744">
        <w:rPr>
          <w:sz w:val="21"/>
          <w:szCs w:val="21"/>
          <w:lang w:val="en-US"/>
        </w:rPr>
        <w:t>g</w:t>
      </w:r>
      <w:r w:rsidR="00E05744" w:rsidRPr="00D55A25">
        <w:rPr>
          <w:sz w:val="21"/>
          <w:szCs w:val="21"/>
          <w:vertAlign w:val="subscript"/>
          <w:lang w:val="en-US"/>
        </w:rPr>
        <w:t>cat</w:t>
      </w:r>
      <w:r w:rsidR="00E05744">
        <w:rPr>
          <w:sz w:val="21"/>
          <w:szCs w:val="21"/>
          <w:lang w:val="en-US"/>
        </w:rPr>
        <w:t>h</w:t>
      </w:r>
      <w:r w:rsidR="00853C54">
        <w:rPr>
          <w:sz w:val="21"/>
          <w:szCs w:val="21"/>
          <w:lang w:val="en-US"/>
        </w:rPr>
        <w:t>)</w:t>
      </w:r>
      <w:r w:rsidR="00B811CE">
        <w:rPr>
          <w:lang w:val="tr-TR" w:eastAsia="tr-TR"/>
        </w:rPr>
        <w:t>; (ii)</w:t>
      </w:r>
      <w:r w:rsidR="00E05744" w:rsidRPr="00E820F6">
        <w:rPr>
          <w:lang w:val="en-US" w:eastAsia="tr-TR"/>
        </w:rPr>
        <w:t xml:space="preserve"> </w:t>
      </w:r>
      <w:r w:rsidR="00B811CE">
        <w:rPr>
          <w:lang w:val="en-US" w:eastAsia="tr-TR"/>
        </w:rPr>
        <w:t>kinetic</w:t>
      </w:r>
      <w:r w:rsidR="00E820F6" w:rsidRPr="00E820F6">
        <w:rPr>
          <w:lang w:val="en-US" w:eastAsia="tr-TR"/>
        </w:rPr>
        <w:t xml:space="preserve"> experiments on pre-reduced </w:t>
      </w:r>
      <w:r w:rsidR="008F74B8">
        <w:rPr>
          <w:lang w:val="en-US" w:eastAsia="tr-TR"/>
        </w:rPr>
        <w:t>(</w:t>
      </w:r>
      <w:r w:rsidR="00B811CE">
        <w:rPr>
          <w:lang w:val="en-US" w:eastAsia="tr-TR"/>
        </w:rPr>
        <w:t xml:space="preserve">with a </w:t>
      </w:r>
      <w:r w:rsidR="008F74B8">
        <w:rPr>
          <w:lang w:val="en-US" w:eastAsia="tr-TR"/>
        </w:rPr>
        <w:t>25% H</w:t>
      </w:r>
      <w:r w:rsidR="008F74B8">
        <w:rPr>
          <w:vertAlign w:val="subscript"/>
          <w:lang w:val="en-US" w:eastAsia="tr-TR"/>
        </w:rPr>
        <w:t>2</w:t>
      </w:r>
      <w:r w:rsidR="008F74B8">
        <w:rPr>
          <w:lang w:val="en-US" w:eastAsia="tr-TR"/>
        </w:rPr>
        <w:t>/He</w:t>
      </w:r>
      <w:r w:rsidR="008F74B8">
        <w:rPr>
          <w:lang w:val="en-US" w:eastAsia="tr-TR"/>
        </w:rPr>
        <w:softHyphen/>
      </w:r>
      <w:r w:rsidR="00B811CE">
        <w:rPr>
          <w:lang w:val="en-US" w:eastAsia="tr-TR"/>
        </w:rPr>
        <w:t xml:space="preserve"> flow at</w:t>
      </w:r>
      <w:r w:rsidR="008F74B8">
        <w:rPr>
          <w:lang w:val="en-US" w:eastAsia="tr-TR"/>
        </w:rPr>
        <w:t xml:space="preserve"> 350</w:t>
      </w:r>
      <w:r w:rsidR="00B811CE">
        <w:rPr>
          <w:lang w:val="en-US" w:eastAsia="tr-TR"/>
        </w:rPr>
        <w:t xml:space="preserve"> </w:t>
      </w:r>
      <w:r w:rsidR="008F74B8" w:rsidRPr="008F74B8">
        <w:rPr>
          <w:vertAlign w:val="superscript"/>
          <w:lang w:val="en-US" w:eastAsia="tr-TR"/>
        </w:rPr>
        <w:t>o</w:t>
      </w:r>
      <w:r w:rsidR="00B811CE">
        <w:rPr>
          <w:lang w:val="en-US" w:eastAsia="tr-TR"/>
        </w:rPr>
        <w:t xml:space="preserve">C for 0.5h) and </w:t>
      </w:r>
      <w:r w:rsidR="00E820F6" w:rsidRPr="00E820F6">
        <w:rPr>
          <w:lang w:val="en-US" w:eastAsia="tr-TR"/>
        </w:rPr>
        <w:t xml:space="preserve">pre-oxidized </w:t>
      </w:r>
      <w:r w:rsidR="008F74B8">
        <w:rPr>
          <w:lang w:val="en-US" w:eastAsia="tr-TR"/>
        </w:rPr>
        <w:t>(</w:t>
      </w:r>
      <w:r w:rsidR="00B811CE">
        <w:rPr>
          <w:lang w:val="en-US" w:eastAsia="tr-TR"/>
        </w:rPr>
        <w:t xml:space="preserve">with </w:t>
      </w:r>
      <w:r w:rsidR="008F74B8">
        <w:rPr>
          <w:lang w:val="en-US" w:eastAsia="tr-TR"/>
        </w:rPr>
        <w:t>20% O</w:t>
      </w:r>
      <w:r w:rsidR="008F74B8">
        <w:rPr>
          <w:vertAlign w:val="subscript"/>
          <w:lang w:val="en-US" w:eastAsia="tr-TR"/>
        </w:rPr>
        <w:t>2</w:t>
      </w:r>
      <w:r w:rsidR="00B811CE">
        <w:rPr>
          <w:lang w:val="en-US" w:eastAsia="tr-TR"/>
        </w:rPr>
        <w:t>/He flow at</w:t>
      </w:r>
      <w:r w:rsidR="008F74B8">
        <w:rPr>
          <w:lang w:val="en-US" w:eastAsia="tr-TR"/>
        </w:rPr>
        <w:t xml:space="preserve"> 400</w:t>
      </w:r>
      <w:r w:rsidR="00B811CE">
        <w:rPr>
          <w:lang w:val="en-US" w:eastAsia="tr-TR"/>
        </w:rPr>
        <w:t xml:space="preserve"> </w:t>
      </w:r>
      <w:r w:rsidR="008F74B8">
        <w:rPr>
          <w:vertAlign w:val="superscript"/>
          <w:lang w:val="en-US" w:eastAsia="tr-TR"/>
        </w:rPr>
        <w:t>o</w:t>
      </w:r>
      <w:r w:rsidR="008F74B8">
        <w:rPr>
          <w:lang w:val="en-US" w:eastAsia="tr-TR"/>
        </w:rPr>
        <w:t>C for 1 h)</w:t>
      </w:r>
      <w:r w:rsidR="00B811CE">
        <w:rPr>
          <w:lang w:val="en-US" w:eastAsia="tr-TR"/>
        </w:rPr>
        <w:t xml:space="preserve"> catalysts;</w:t>
      </w:r>
      <w:r w:rsidR="00853C54">
        <w:rPr>
          <w:lang w:val="en-US" w:eastAsia="tr-TR"/>
        </w:rPr>
        <w:t xml:space="preserve"> and finally</w:t>
      </w:r>
      <w:r w:rsidR="00B811CE">
        <w:rPr>
          <w:lang w:val="en-US" w:eastAsia="tr-TR"/>
        </w:rPr>
        <w:t xml:space="preserve"> (iii)</w:t>
      </w:r>
      <w:r w:rsidR="00E820F6" w:rsidRPr="00E820F6">
        <w:rPr>
          <w:lang w:val="en-US" w:eastAsia="tr-TR"/>
        </w:rPr>
        <w:t xml:space="preserve"> </w:t>
      </w:r>
      <w:r w:rsidR="00527C55">
        <w:rPr>
          <w:lang w:val="en-US" w:eastAsia="tr-TR"/>
        </w:rPr>
        <w:t>kinetic experiments on gradually</w:t>
      </w:r>
      <w:r w:rsidR="00E820F6" w:rsidRPr="00E820F6">
        <w:rPr>
          <w:lang w:val="en-US" w:eastAsia="tr-TR"/>
        </w:rPr>
        <w:t xml:space="preserve"> aged catalysts </w:t>
      </w:r>
      <w:r w:rsidR="00527C55">
        <w:rPr>
          <w:lang w:val="en-US" w:eastAsia="tr-TR"/>
        </w:rPr>
        <w:t xml:space="preserve">at high temperature oxidative conditions </w:t>
      </w:r>
      <w:r w:rsidR="00E820F6" w:rsidRPr="00E820F6">
        <w:rPr>
          <w:lang w:val="en-US" w:eastAsia="tr-TR"/>
        </w:rPr>
        <w:t>according to a specific aging protocol.</w:t>
      </w:r>
      <w:r w:rsidR="008F74B8" w:rsidRPr="008F74B8">
        <w:rPr>
          <w:lang w:val="tr-TR" w:eastAsia="tr-TR"/>
        </w:rPr>
        <w:t xml:space="preserve"> </w:t>
      </w:r>
      <w:r w:rsidR="00527C55">
        <w:rPr>
          <w:lang w:val="tr-TR" w:eastAsia="tr-TR"/>
        </w:rPr>
        <w:t>In addition</w:t>
      </w:r>
      <w:r w:rsidR="008F74B8">
        <w:rPr>
          <w:lang w:val="tr-TR" w:eastAsia="tr-TR"/>
        </w:rPr>
        <w:t>, t</w:t>
      </w:r>
      <w:r w:rsidR="008F74B8" w:rsidRPr="00271269">
        <w:rPr>
          <w:lang w:val="tr-TR" w:eastAsia="tr-TR"/>
        </w:rPr>
        <w:t xml:space="preserve">he textural and stuctural properties of the supports and the </w:t>
      </w:r>
      <w:r w:rsidR="008F74B8" w:rsidRPr="00271269">
        <w:rPr>
          <w:lang w:val="en-US" w:eastAsia="tr-TR"/>
        </w:rPr>
        <w:t>Ir-</w:t>
      </w:r>
      <w:r w:rsidR="008F74B8">
        <w:rPr>
          <w:lang w:val="en-US" w:eastAsia="tr-TR"/>
        </w:rPr>
        <w:t xml:space="preserve">ACZ </w:t>
      </w:r>
      <w:r w:rsidR="008F74B8" w:rsidRPr="00271269">
        <w:rPr>
          <w:lang w:val="en-US" w:eastAsia="tr-TR"/>
        </w:rPr>
        <w:t>catalysts</w:t>
      </w:r>
      <w:r w:rsidR="008F74B8" w:rsidRPr="00271269">
        <w:rPr>
          <w:lang w:val="tr-TR" w:eastAsia="tr-TR"/>
        </w:rPr>
        <w:t xml:space="preserve"> were evaluated by various techniques, such as X-ray diffraction (XRD), BET-BJH N</w:t>
      </w:r>
      <w:r w:rsidR="008F74B8" w:rsidRPr="00271269">
        <w:rPr>
          <w:vertAlign w:val="subscript"/>
          <w:lang w:val="tr-TR" w:eastAsia="tr-TR"/>
        </w:rPr>
        <w:t>2</w:t>
      </w:r>
      <w:r w:rsidR="008F74B8" w:rsidRPr="00271269">
        <w:rPr>
          <w:lang w:val="tr-TR" w:eastAsia="tr-TR"/>
        </w:rPr>
        <w:t xml:space="preserve"> adsorption-desorption method, temperature-programmed reduction by H</w:t>
      </w:r>
      <w:r w:rsidR="008F74B8" w:rsidRPr="00271269">
        <w:rPr>
          <w:vertAlign w:val="subscript"/>
          <w:lang w:val="tr-TR" w:eastAsia="tr-TR"/>
        </w:rPr>
        <w:t>2</w:t>
      </w:r>
      <w:r w:rsidR="008F74B8" w:rsidRPr="00271269">
        <w:rPr>
          <w:lang w:val="tr-TR" w:eastAsia="tr-TR"/>
        </w:rPr>
        <w:t xml:space="preserve"> (H</w:t>
      </w:r>
      <w:r w:rsidR="008F74B8" w:rsidRPr="00271269">
        <w:rPr>
          <w:vertAlign w:val="subscript"/>
          <w:lang w:val="tr-TR" w:eastAsia="tr-TR"/>
        </w:rPr>
        <w:t>2</w:t>
      </w:r>
      <w:r w:rsidR="008F74B8" w:rsidRPr="00271269">
        <w:rPr>
          <w:lang w:val="tr-TR" w:eastAsia="tr-TR"/>
        </w:rPr>
        <w:t>-TPR) and isothermal H</w:t>
      </w:r>
      <w:r w:rsidR="008F74B8" w:rsidRPr="00271269">
        <w:rPr>
          <w:vertAlign w:val="subscript"/>
          <w:lang w:val="tr-TR" w:eastAsia="tr-TR"/>
        </w:rPr>
        <w:t>2</w:t>
      </w:r>
      <w:r w:rsidR="008F74B8" w:rsidRPr="00271269">
        <w:rPr>
          <w:lang w:val="tr-TR" w:eastAsia="tr-TR"/>
        </w:rPr>
        <w:t xml:space="preserve"> chemisorption (H</w:t>
      </w:r>
      <w:r w:rsidR="008F74B8" w:rsidRPr="00271269">
        <w:rPr>
          <w:vertAlign w:val="subscript"/>
          <w:lang w:val="tr-TR" w:eastAsia="tr-TR"/>
        </w:rPr>
        <w:t>2</w:t>
      </w:r>
      <w:r w:rsidR="008F74B8" w:rsidRPr="00271269">
        <w:rPr>
          <w:lang w:val="tr-TR" w:eastAsia="tr-TR"/>
        </w:rPr>
        <w:t>-Chem)</w:t>
      </w:r>
      <w:r w:rsidR="00C863DC">
        <w:rPr>
          <w:lang w:val="tr-TR" w:eastAsia="tr-TR"/>
        </w:rPr>
        <w:t xml:space="preserve"> in order to</w:t>
      </w:r>
      <w:r w:rsidR="00C863DC">
        <w:rPr>
          <w:lang w:val="en-US" w:eastAsia="tr-TR"/>
        </w:rPr>
        <w:t xml:space="preserve"> gain a better understanding of the relevant structure-activity relationships and hysteresis phenomena implicated.</w:t>
      </w:r>
    </w:p>
    <w:p w14:paraId="2DC123EF" w14:textId="77777777" w:rsidR="00DB5D87" w:rsidRDefault="00DB5D87" w:rsidP="008872D2">
      <w:pPr>
        <w:pStyle w:val="Figureortable"/>
        <w:jc w:val="both"/>
        <w:rPr>
          <w:b/>
          <w:lang w:val="en-US"/>
        </w:rPr>
      </w:pPr>
    </w:p>
    <w:p w14:paraId="0E30414B" w14:textId="2A060036" w:rsidR="008872D2" w:rsidRDefault="00B077D9" w:rsidP="008872D2">
      <w:pPr>
        <w:pStyle w:val="Figureortable"/>
        <w:jc w:val="both"/>
        <w:rPr>
          <w:i/>
          <w:color w:val="000000" w:themeColor="text1"/>
        </w:rPr>
      </w:pPr>
      <w:r w:rsidRPr="008872D2">
        <w:rPr>
          <w:i/>
          <w:noProof/>
          <w:color w:val="000000" w:themeColor="text1"/>
          <w:lang w:val="en-US" w:eastAsia="en-US"/>
        </w:rPr>
        <w:drawing>
          <wp:anchor distT="0" distB="0" distL="114300" distR="114300" simplePos="0" relativeHeight="251662336" behindDoc="1" locked="0" layoutInCell="1" allowOverlap="1" wp14:anchorId="372B3588" wp14:editId="41BEE03A">
            <wp:simplePos x="0" y="0"/>
            <wp:positionH relativeFrom="column">
              <wp:posOffset>2425700</wp:posOffset>
            </wp:positionH>
            <wp:positionV relativeFrom="paragraph">
              <wp:posOffset>619760</wp:posOffset>
            </wp:positionV>
            <wp:extent cx="1234440" cy="527050"/>
            <wp:effectExtent l="19050" t="19050" r="22860" b="25400"/>
            <wp:wrapTight wrapText="bothSides">
              <wp:wrapPolygon edited="0">
                <wp:start x="-333" y="-781"/>
                <wp:lineTo x="-333" y="21860"/>
                <wp:lineTo x="21667" y="21860"/>
                <wp:lineTo x="21667" y="-781"/>
                <wp:lineTo x="-333" y="-781"/>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10000"/>
                    </a:blip>
                    <a:srcRect/>
                    <a:stretch>
                      <a:fillRect/>
                    </a:stretch>
                  </pic:blipFill>
                  <pic:spPr bwMode="auto">
                    <a:xfrm>
                      <a:off x="0" y="0"/>
                      <a:ext cx="1234440" cy="527050"/>
                    </a:xfrm>
                    <a:prstGeom prst="rect">
                      <a:avLst/>
                    </a:prstGeom>
                    <a:noFill/>
                    <a:ln w="9525">
                      <a:solidFill>
                        <a:schemeClr val="tx2">
                          <a:lumMod val="20000"/>
                          <a:lumOff val="80000"/>
                        </a:schemeClr>
                      </a:solidFill>
                      <a:miter lim="800000"/>
                      <a:headEnd/>
                      <a:tailEnd/>
                    </a:ln>
                  </pic:spPr>
                </pic:pic>
              </a:graphicData>
            </a:graphic>
            <wp14:sizeRelH relativeFrom="margin">
              <wp14:pctWidth>0</wp14:pctWidth>
            </wp14:sizeRelH>
            <wp14:sizeRelV relativeFrom="margin">
              <wp14:pctHeight>0</wp14:pctHeight>
            </wp14:sizeRelV>
          </wp:anchor>
        </w:drawing>
      </w:r>
      <w:r w:rsidRPr="008872D2">
        <w:rPr>
          <w:i/>
          <w:noProof/>
          <w:color w:val="000000" w:themeColor="text1"/>
          <w:lang w:val="en-US" w:eastAsia="en-US"/>
        </w:rPr>
        <w:drawing>
          <wp:anchor distT="0" distB="0" distL="114300" distR="114300" simplePos="0" relativeHeight="251663360" behindDoc="1" locked="0" layoutInCell="1" allowOverlap="1" wp14:anchorId="23F31159" wp14:editId="4342DBCD">
            <wp:simplePos x="0" y="0"/>
            <wp:positionH relativeFrom="column">
              <wp:posOffset>3790950</wp:posOffset>
            </wp:positionH>
            <wp:positionV relativeFrom="paragraph">
              <wp:posOffset>622300</wp:posOffset>
            </wp:positionV>
            <wp:extent cx="945515" cy="537210"/>
            <wp:effectExtent l="0" t="0" r="6985" b="0"/>
            <wp:wrapTight wrapText="bothSides">
              <wp:wrapPolygon edited="0">
                <wp:start x="0" y="0"/>
                <wp:lineTo x="0" y="20681"/>
                <wp:lineTo x="21324" y="20681"/>
                <wp:lineTo x="21324"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45515" cy="537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872D2">
        <w:rPr>
          <w:i/>
          <w:noProof/>
          <w:color w:val="000000" w:themeColor="text1"/>
          <w:lang w:val="en-US" w:eastAsia="en-US"/>
        </w:rPr>
        <w:drawing>
          <wp:anchor distT="0" distB="0" distL="114300" distR="114300" simplePos="0" relativeHeight="251661312" behindDoc="1" locked="0" layoutInCell="1" allowOverlap="1" wp14:anchorId="7BD7B6E2" wp14:editId="0FB413D1">
            <wp:simplePos x="0" y="0"/>
            <wp:positionH relativeFrom="column">
              <wp:posOffset>1491615</wp:posOffset>
            </wp:positionH>
            <wp:positionV relativeFrom="paragraph">
              <wp:posOffset>622300</wp:posOffset>
            </wp:positionV>
            <wp:extent cx="839470" cy="571500"/>
            <wp:effectExtent l="0" t="0" r="0" b="0"/>
            <wp:wrapTight wrapText="bothSides">
              <wp:wrapPolygon edited="0">
                <wp:start x="0" y="0"/>
                <wp:lineTo x="0" y="20880"/>
                <wp:lineTo x="21077" y="20880"/>
                <wp:lineTo x="21077"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3947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18"/>
          <w:lang w:val="en-US" w:eastAsia="en-US"/>
        </w:rPr>
        <w:drawing>
          <wp:anchor distT="0" distB="0" distL="114300" distR="114300" simplePos="0" relativeHeight="251659264" behindDoc="1" locked="0" layoutInCell="1" allowOverlap="1" wp14:anchorId="45C7A7F2" wp14:editId="03576395">
            <wp:simplePos x="0" y="0"/>
            <wp:positionH relativeFrom="margin">
              <wp:posOffset>502285</wp:posOffset>
            </wp:positionH>
            <wp:positionV relativeFrom="paragraph">
              <wp:posOffset>586105</wp:posOffset>
            </wp:positionV>
            <wp:extent cx="887095" cy="740410"/>
            <wp:effectExtent l="0" t="0" r="8255" b="2540"/>
            <wp:wrapTight wrapText="bothSides">
              <wp:wrapPolygon edited="0">
                <wp:start x="0" y="0"/>
                <wp:lineTo x="0" y="21118"/>
                <wp:lineTo x="21337" y="21118"/>
                <wp:lineTo x="21337"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87095" cy="740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872D2" w:rsidRPr="004D3F29">
        <w:rPr>
          <w:b/>
          <w:lang w:val="en-US"/>
        </w:rPr>
        <w:t>Acknowledgments</w:t>
      </w:r>
      <w:r w:rsidR="008872D2" w:rsidRPr="00E063A1">
        <w:rPr>
          <w:b/>
          <w:lang w:val="en-US"/>
        </w:rPr>
        <w:t xml:space="preserve">: </w:t>
      </w:r>
      <w:r w:rsidR="008872D2" w:rsidRPr="00E063A1">
        <w:t>Finan</w:t>
      </w:r>
      <w:r w:rsidR="008872D2">
        <w:t>cial</w:t>
      </w:r>
      <w:r w:rsidR="008872D2" w:rsidRPr="00E063A1">
        <w:t xml:space="preserve"> support by </w:t>
      </w:r>
      <w:r w:rsidR="008872D2">
        <w:t>t</w:t>
      </w:r>
      <w:r w:rsidR="008872D2" w:rsidRPr="00E063A1">
        <w:t xml:space="preserve">he </w:t>
      </w:r>
      <w:r w:rsidR="008872D2" w:rsidRPr="00E063A1">
        <w:rPr>
          <w:i/>
          <w:color w:val="000000" w:themeColor="text1"/>
        </w:rPr>
        <w:t>GREEK-CHINESE BILATERAL RESEARCH AND INNOVATION COOPERATION, 2018-2021 program (Project No: T7</w:t>
      </w:r>
      <w:r w:rsidR="008872D2">
        <w:rPr>
          <w:i/>
          <w:color w:val="000000" w:themeColor="text1"/>
          <w:lang w:val="el-GR"/>
        </w:rPr>
        <w:t>ΔΚ</w:t>
      </w:r>
      <w:r w:rsidR="008872D2" w:rsidRPr="00E063A1">
        <w:rPr>
          <w:i/>
          <w:color w:val="000000" w:themeColor="text1"/>
        </w:rPr>
        <w:t>I-00356) is gratefully acknowledged</w:t>
      </w:r>
      <w:r w:rsidR="008872D2">
        <w:rPr>
          <w:i/>
          <w:color w:val="000000" w:themeColor="text1"/>
        </w:rPr>
        <w:t>.</w:t>
      </w:r>
    </w:p>
    <w:sectPr w:rsidR="008872D2" w:rsidSect="00F502E6">
      <w:pgSz w:w="9639" w:h="13608"/>
      <w:pgMar w:top="851" w:right="680"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0D4A90A"/>
    <w:lvl w:ilvl="0">
      <w:start w:val="1"/>
      <w:numFmt w:val="decimal"/>
      <w:lvlText w:val="%1."/>
      <w:lvlJc w:val="left"/>
      <w:pPr>
        <w:tabs>
          <w:tab w:val="num" w:pos="360"/>
        </w:tabs>
        <w:ind w:left="360" w:hanging="360"/>
      </w:pPr>
    </w:lvl>
  </w:abstractNum>
  <w:abstractNum w:abstractNumId="1" w15:restartNumberingAfterBreak="0">
    <w:nsid w:val="2446433F"/>
    <w:multiLevelType w:val="hybridMultilevel"/>
    <w:tmpl w:val="16A03D3C"/>
    <w:lvl w:ilvl="0" w:tplc="C714CC5A">
      <w:numFmt w:val="bullet"/>
      <w:pStyle w:val="1"/>
      <w:lvlText w:val="▪"/>
      <w:lvlJc w:val="left"/>
      <w:pPr>
        <w:tabs>
          <w:tab w:val="num" w:pos="284"/>
        </w:tabs>
        <w:ind w:left="284" w:hanging="284"/>
      </w:pPr>
      <w:rPr>
        <w:rFonts w:ascii="Times New Roman" w:hAnsi="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A4DB2"/>
    <w:multiLevelType w:val="hybridMultilevel"/>
    <w:tmpl w:val="B7060D2E"/>
    <w:lvl w:ilvl="0" w:tplc="DE8E87A8">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LewMDIxNTa1MLJQ0lEKTi0uzszPAykwqQUAHmdZlywAAAA="/>
  </w:docVars>
  <w:rsids>
    <w:rsidRoot w:val="008D701F"/>
    <w:rsid w:val="000821E5"/>
    <w:rsid w:val="000B1A6C"/>
    <w:rsid w:val="000D5374"/>
    <w:rsid w:val="00122452"/>
    <w:rsid w:val="001320CE"/>
    <w:rsid w:val="00187DC9"/>
    <w:rsid w:val="00190378"/>
    <w:rsid w:val="001D4BC3"/>
    <w:rsid w:val="001F0914"/>
    <w:rsid w:val="00271269"/>
    <w:rsid w:val="00276E02"/>
    <w:rsid w:val="003835D6"/>
    <w:rsid w:val="00420927"/>
    <w:rsid w:val="00427242"/>
    <w:rsid w:val="00527C55"/>
    <w:rsid w:val="005403B1"/>
    <w:rsid w:val="005739DD"/>
    <w:rsid w:val="005D32FB"/>
    <w:rsid w:val="005F38B7"/>
    <w:rsid w:val="00600F76"/>
    <w:rsid w:val="006C647A"/>
    <w:rsid w:val="00762791"/>
    <w:rsid w:val="007B18A2"/>
    <w:rsid w:val="00820B71"/>
    <w:rsid w:val="00833308"/>
    <w:rsid w:val="00853C54"/>
    <w:rsid w:val="008872D2"/>
    <w:rsid w:val="008A203B"/>
    <w:rsid w:val="008A5F89"/>
    <w:rsid w:val="008B3A01"/>
    <w:rsid w:val="008B3A81"/>
    <w:rsid w:val="008D701F"/>
    <w:rsid w:val="008F74B8"/>
    <w:rsid w:val="00914919"/>
    <w:rsid w:val="009458C7"/>
    <w:rsid w:val="00992E0D"/>
    <w:rsid w:val="009B4F02"/>
    <w:rsid w:val="009B6377"/>
    <w:rsid w:val="00A95473"/>
    <w:rsid w:val="00B0175F"/>
    <w:rsid w:val="00B077D9"/>
    <w:rsid w:val="00B811CE"/>
    <w:rsid w:val="00C863DC"/>
    <w:rsid w:val="00DB5D87"/>
    <w:rsid w:val="00DC699B"/>
    <w:rsid w:val="00DE0209"/>
    <w:rsid w:val="00DF2E60"/>
    <w:rsid w:val="00DF6D99"/>
    <w:rsid w:val="00E05744"/>
    <w:rsid w:val="00E20E1B"/>
    <w:rsid w:val="00E549AE"/>
    <w:rsid w:val="00E734F7"/>
    <w:rsid w:val="00E820F6"/>
    <w:rsid w:val="00E823EF"/>
    <w:rsid w:val="00E872B4"/>
    <w:rsid w:val="00E915AC"/>
    <w:rsid w:val="00F502E6"/>
    <w:rsid w:val="00F77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CCE5"/>
  <w15:docId w15:val="{09658E0C-69B2-465E-B285-AAEFB528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07DB"/>
    <w:pPr>
      <w:spacing w:line="240" w:lineRule="atLeast"/>
      <w:jc w:val="both"/>
    </w:pPr>
    <w:rPr>
      <w:lang w:val="it-IT" w:eastAsia="it-IT"/>
    </w:rPr>
  </w:style>
  <w:style w:type="paragraph" w:styleId="10">
    <w:name w:val="heading 1"/>
    <w:basedOn w:val="a"/>
    <w:next w:val="a"/>
    <w:link w:val="1Char"/>
    <w:qFormat/>
    <w:rsid w:val="009207DB"/>
    <w:pPr>
      <w:outlineLvl w:val="0"/>
    </w:pPr>
    <w:rPr>
      <w:rFonts w:ascii="TimesNewRoman" w:hAnsi="TimesNewRoman"/>
      <w:b/>
      <w:caps/>
      <w:sz w:val="28"/>
      <w:szCs w:val="28"/>
    </w:rPr>
  </w:style>
  <w:style w:type="paragraph" w:styleId="2">
    <w:name w:val="heading 2"/>
    <w:basedOn w:val="a"/>
    <w:next w:val="a"/>
    <w:qFormat/>
    <w:rsid w:val="0059255C"/>
    <w:pPr>
      <w:keepNext/>
      <w:outlineLvl w:val="1"/>
    </w:pPr>
    <w:rPr>
      <w:rFonts w:cs="Arial"/>
      <w:b/>
      <w:bCs/>
      <w:iCs/>
      <w:szCs w:val="28"/>
    </w:rPr>
  </w:style>
  <w:style w:type="paragraph" w:styleId="3">
    <w:name w:val="heading 3"/>
    <w:basedOn w:val="a"/>
    <w:next w:val="a"/>
    <w:qFormat/>
    <w:rsid w:val="0059255C"/>
    <w:pPr>
      <w:keepNext/>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eywords">
    <w:name w:val="Key words"/>
    <w:basedOn w:val="a"/>
    <w:rsid w:val="009207DB"/>
    <w:rPr>
      <w:i/>
      <w:lang w:val="en-GB"/>
    </w:rPr>
  </w:style>
  <w:style w:type="paragraph" w:customStyle="1" w:styleId="Bodyofthedocument">
    <w:name w:val="Body of the document"/>
    <w:basedOn w:val="a"/>
    <w:rsid w:val="009207DB"/>
    <w:pPr>
      <w:ind w:firstLine="284"/>
    </w:pPr>
    <w:rPr>
      <w:lang w:val="en-GB"/>
    </w:rPr>
  </w:style>
  <w:style w:type="paragraph" w:customStyle="1" w:styleId="Affiliations">
    <w:name w:val="Affiliations"/>
    <w:basedOn w:val="a"/>
    <w:rsid w:val="009207DB"/>
    <w:rPr>
      <w:i/>
    </w:rPr>
  </w:style>
  <w:style w:type="paragraph" w:customStyle="1" w:styleId="AUTHOR">
    <w:name w:val="AUTHOR"/>
    <w:basedOn w:val="a"/>
    <w:rsid w:val="009207DB"/>
    <w:rPr>
      <w:caps/>
    </w:rPr>
  </w:style>
  <w:style w:type="paragraph" w:customStyle="1" w:styleId="Figureortable">
    <w:name w:val="Figure or table"/>
    <w:basedOn w:val="a"/>
    <w:rsid w:val="009207DB"/>
    <w:pPr>
      <w:jc w:val="center"/>
    </w:pPr>
  </w:style>
  <w:style w:type="paragraph" w:customStyle="1" w:styleId="legendoffigureortable">
    <w:name w:val="legend of figure or table"/>
    <w:basedOn w:val="a"/>
    <w:rsid w:val="00705B1F"/>
    <w:pPr>
      <w:spacing w:before="60"/>
      <w:ind w:left="794" w:hanging="794"/>
    </w:pPr>
    <w:rPr>
      <w:lang w:val="en-GB"/>
    </w:rPr>
  </w:style>
  <w:style w:type="paragraph" w:customStyle="1" w:styleId="1">
    <w:name w:val="Λίστα1"/>
    <w:basedOn w:val="a"/>
    <w:next w:val="Bodyofthedocument"/>
    <w:rsid w:val="000B1ABD"/>
    <w:pPr>
      <w:numPr>
        <w:numId w:val="3"/>
      </w:numPr>
    </w:pPr>
    <w:rPr>
      <w:rFonts w:eastAsia="MS Mincho"/>
      <w:lang w:eastAsia="ja-JP"/>
    </w:rPr>
  </w:style>
  <w:style w:type="character" w:customStyle="1" w:styleId="1Char">
    <w:name w:val="Επικεφαλίδα 1 Char"/>
    <w:link w:val="10"/>
    <w:rsid w:val="000B1ABD"/>
    <w:rPr>
      <w:rFonts w:ascii="TimesNewRoman" w:hAnsi="TimesNewRoman"/>
      <w:b/>
      <w:caps/>
      <w:sz w:val="28"/>
      <w:szCs w:val="28"/>
      <w:lang w:val="it-IT" w:eastAsia="it-IT" w:bidi="ar-SA"/>
    </w:rPr>
  </w:style>
  <w:style w:type="paragraph" w:customStyle="1" w:styleId="11">
    <w:name w:val="Τίτλος1"/>
    <w:basedOn w:val="10"/>
    <w:next w:val="Bodyofthedocument"/>
    <w:rsid w:val="000B1ABD"/>
  </w:style>
  <w:style w:type="character" w:styleId="-">
    <w:name w:val="Hyperlink"/>
    <w:uiPriority w:val="99"/>
    <w:rsid w:val="008B3A01"/>
    <w:rPr>
      <w:rFonts w:cs="Times New Roman"/>
      <w:color w:val="0000FF"/>
      <w:u w:val="single"/>
    </w:rPr>
  </w:style>
  <w:style w:type="paragraph" w:styleId="a3">
    <w:name w:val="Balloon Text"/>
    <w:basedOn w:val="a"/>
    <w:link w:val="Char"/>
    <w:uiPriority w:val="99"/>
    <w:semiHidden/>
    <w:unhideWhenUsed/>
    <w:rsid w:val="009B6377"/>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B6377"/>
    <w:rPr>
      <w:rFonts w:ascii="Tahoma" w:hAnsi="Tahoma" w:cs="Tahoma"/>
      <w:sz w:val="16"/>
      <w:szCs w:val="16"/>
      <w:lang w:val="it-IT" w:eastAsia="it-IT"/>
    </w:rPr>
  </w:style>
  <w:style w:type="paragraph" w:customStyle="1" w:styleId="AUTHORSNAMES">
    <w:name w:val="AUTHORS NAMES"/>
    <w:basedOn w:val="a"/>
    <w:qFormat/>
    <w:rsid w:val="00122452"/>
    <w:pPr>
      <w:spacing w:before="120" w:after="120"/>
      <w:jc w:val="left"/>
    </w:pPr>
    <w:rPr>
      <w:b/>
      <w:sz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oula@uowm.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rodou@isc.tuc.gr" TargetMode="External"/><Relationship Id="rId11" Type="http://schemas.openxmlformats.org/officeDocument/2006/relationships/image" Target="media/image4.emf"/><Relationship Id="rId5" Type="http://schemas.openxmlformats.org/officeDocument/2006/relationships/hyperlink" Target="mailto:yyentek@isc.tuc.gr"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490</Words>
  <Characters>2795</Characters>
  <Application>Microsoft Office Word</Application>
  <DocSecurity>0</DocSecurity>
  <Lines>23</Lines>
  <Paragraphs>6</Paragraphs>
  <ScaleCrop>false</ScaleCrop>
  <HeadingPairs>
    <vt:vector size="6" baseType="variant">
      <vt:variant>
        <vt:lpstr>Title</vt:lpstr>
      </vt:variant>
      <vt:variant>
        <vt:i4>1</vt:i4>
      </vt:variant>
      <vt:variant>
        <vt:lpstr>Τίτλος</vt:lpstr>
      </vt:variant>
      <vt:variant>
        <vt:i4>1</vt:i4>
      </vt:variant>
      <vt:variant>
        <vt:lpstr>Titolo</vt:lpstr>
      </vt:variant>
      <vt:variant>
        <vt:i4>1</vt:i4>
      </vt:variant>
    </vt:vector>
  </HeadingPairs>
  <TitlesOfParts>
    <vt:vector size="3" baseType="lpstr">
      <vt:lpstr>FULL SCALE APPLICATION OF IN SITU AEROBIC STABILIZATION OF OLD LANDFILLS</vt:lpstr>
      <vt:lpstr>FULL SCALE APPLICATION OF IN SITU AEROBIC STABILIZATION OF OLD LANDFILLS</vt:lpstr>
      <vt:lpstr>FULL SCALE APPLICATION OF IN SITU AEROBIC STABILIZATION OF OLD LANDFILLS </vt:lpstr>
    </vt:vector>
  </TitlesOfParts>
  <Company>image</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SCALE APPLICATION OF IN SITU AEROBIC STABILIZATION OF OLD LANDFILLS</dc:title>
  <dc:creator>iat</dc:creator>
  <cp:lastModifiedBy>Katia Drosou</cp:lastModifiedBy>
  <cp:revision>6</cp:revision>
  <cp:lastPrinted>2009-05-28T14:35:00Z</cp:lastPrinted>
  <dcterms:created xsi:type="dcterms:W3CDTF">2021-05-14T10:16:00Z</dcterms:created>
  <dcterms:modified xsi:type="dcterms:W3CDTF">2021-05-15T10:31:00Z</dcterms:modified>
</cp:coreProperties>
</file>