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3810" w14:textId="4C792D35" w:rsidR="00DA1C80" w:rsidRDefault="00DA1C80" w:rsidP="00DA1C80">
      <w:pPr>
        <w:rPr>
          <w:b/>
          <w:caps/>
          <w:sz w:val="24"/>
          <w:szCs w:val="24"/>
          <w:lang w:val="en-US"/>
        </w:rPr>
      </w:pPr>
      <w:bookmarkStart w:id="0" w:name="_Hlk71980190"/>
      <w:r>
        <w:rPr>
          <w:b/>
          <w:caps/>
          <w:sz w:val="24"/>
          <w:szCs w:val="24"/>
          <w:lang w:val="en-US"/>
        </w:rPr>
        <w:t xml:space="preserve">activity, stability and limit cycles bEhavior of co oxidation </w:t>
      </w:r>
      <w:r w:rsidR="00F80BBA">
        <w:rPr>
          <w:b/>
          <w:caps/>
          <w:sz w:val="24"/>
          <w:szCs w:val="24"/>
          <w:lang w:val="en-US"/>
        </w:rPr>
        <w:t xml:space="preserve">over </w:t>
      </w:r>
      <w:proofErr w:type="spellStart"/>
      <w:r w:rsidR="00F80BBA" w:rsidRPr="00F80BBA">
        <w:rPr>
          <w:b/>
          <w:lang w:val="en-US"/>
        </w:rPr>
        <w:t>Ir</w:t>
      </w:r>
      <w:proofErr w:type="spellEnd"/>
      <w:r w:rsidR="00F80BBA" w:rsidRPr="00F80BBA">
        <w:rPr>
          <w:b/>
          <w:caps/>
          <w:sz w:val="24"/>
          <w:szCs w:val="24"/>
          <w:lang w:val="en-US"/>
        </w:rPr>
        <w:t xml:space="preserve"> /</w:t>
      </w:r>
      <w:r w:rsidR="00F80BBA" w:rsidRPr="00F80BBA">
        <w:rPr>
          <w:b/>
          <w:lang w:val="en-US"/>
        </w:rPr>
        <w:t xml:space="preserve"> </w:t>
      </w:r>
      <w:r w:rsidR="00F80BBA" w:rsidRPr="00F80BBA">
        <w:rPr>
          <w:b/>
          <w:sz w:val="24"/>
          <w:szCs w:val="24"/>
          <w:lang w:val="en-US"/>
        </w:rPr>
        <w:t>La</w:t>
      </w:r>
      <w:r w:rsidR="00F80BBA" w:rsidRPr="00F80BBA">
        <w:rPr>
          <w:b/>
          <w:sz w:val="24"/>
          <w:szCs w:val="24"/>
          <w:vertAlign w:val="subscript"/>
          <w:lang w:val="en-US"/>
        </w:rPr>
        <w:t>1-x</w:t>
      </w:r>
      <w:r w:rsidR="00F80BBA" w:rsidRPr="00F80BBA">
        <w:rPr>
          <w:b/>
          <w:sz w:val="24"/>
          <w:szCs w:val="24"/>
          <w:lang w:val="en-US"/>
        </w:rPr>
        <w:t>Sr</w:t>
      </w:r>
      <w:r w:rsidR="00F80BBA" w:rsidRPr="00F80BBA">
        <w:rPr>
          <w:b/>
          <w:sz w:val="24"/>
          <w:szCs w:val="24"/>
          <w:vertAlign w:val="subscript"/>
          <w:lang w:val="en-US"/>
        </w:rPr>
        <w:t>x</w:t>
      </w:r>
      <w:r w:rsidR="00F80BBA" w:rsidRPr="00F80BBA">
        <w:rPr>
          <w:b/>
          <w:sz w:val="24"/>
          <w:szCs w:val="24"/>
          <w:lang w:val="en-US"/>
        </w:rPr>
        <w:t>MnO</w:t>
      </w:r>
      <w:r w:rsidR="00F80BBA" w:rsidRPr="00F80BBA">
        <w:rPr>
          <w:b/>
          <w:sz w:val="24"/>
          <w:szCs w:val="24"/>
          <w:vertAlign w:val="subscript"/>
        </w:rPr>
        <w:t>3</w:t>
      </w:r>
      <w:r w:rsidR="00F80BBA" w:rsidRPr="00F80BBA">
        <w:rPr>
          <w:sz w:val="24"/>
          <w:szCs w:val="24"/>
          <w:lang w:val="en-US"/>
        </w:rPr>
        <w:t xml:space="preserve"> </w:t>
      </w:r>
      <w:r w:rsidR="00F80BBA">
        <w:rPr>
          <w:b/>
          <w:caps/>
          <w:sz w:val="24"/>
          <w:szCs w:val="24"/>
          <w:lang w:val="en-US"/>
        </w:rPr>
        <w:t>-perovskite catalysts</w:t>
      </w:r>
      <w:r>
        <w:rPr>
          <w:b/>
          <w:caps/>
          <w:sz w:val="24"/>
          <w:szCs w:val="24"/>
          <w:lang w:val="en-US"/>
        </w:rPr>
        <w:t>.</w:t>
      </w:r>
    </w:p>
    <w:p w14:paraId="2838DA73" w14:textId="77777777" w:rsidR="00DA1C80" w:rsidRPr="000D2107" w:rsidRDefault="00DA1C80" w:rsidP="00DA1C80">
      <w:pPr>
        <w:rPr>
          <w:b/>
          <w:caps/>
          <w:sz w:val="24"/>
          <w:szCs w:val="24"/>
          <w:lang w:val="en-US"/>
        </w:rPr>
      </w:pPr>
    </w:p>
    <w:p w14:paraId="5CBFC4FB" w14:textId="240C39B3" w:rsidR="00DA1C80" w:rsidRDefault="00DA1C80" w:rsidP="00DA1C80">
      <w:pPr>
        <w:pStyle w:val="AUTHOR"/>
        <w:rPr>
          <w:lang w:val="en-GB"/>
        </w:rPr>
      </w:pPr>
      <w:r>
        <w:rPr>
          <w:lang w:val="en-US"/>
        </w:rPr>
        <w:t>c. drosou</w:t>
      </w:r>
      <w:proofErr w:type="gramStart"/>
      <w:r>
        <w:rPr>
          <w:vertAlign w:val="superscript"/>
          <w:lang w:val="en-GB"/>
        </w:rPr>
        <w:t>1,</w:t>
      </w:r>
      <w:r w:rsidRPr="008A5F89">
        <w:rPr>
          <w:lang w:val="en-GB"/>
        </w:rPr>
        <w:t>*</w:t>
      </w:r>
      <w:proofErr w:type="gramEnd"/>
      <w:r w:rsidRPr="00E549AE">
        <w:rPr>
          <w:lang w:val="en-US"/>
        </w:rPr>
        <w:t>,</w:t>
      </w:r>
      <w:r w:rsidRPr="00CD273C">
        <w:rPr>
          <w:lang w:val="en-GB"/>
        </w:rPr>
        <w:t xml:space="preserve"> </w:t>
      </w:r>
      <w:r>
        <w:rPr>
          <w:lang w:val="en-GB"/>
        </w:rPr>
        <w:t>A. STRAtakis</w:t>
      </w:r>
      <w:r>
        <w:rPr>
          <w:vertAlign w:val="superscript"/>
          <w:lang w:val="en-GB"/>
        </w:rPr>
        <w:t>2</w:t>
      </w:r>
      <w:r>
        <w:rPr>
          <w:vertAlign w:val="subscript"/>
          <w:lang w:val="en-GB"/>
        </w:rPr>
        <w:t xml:space="preserve">, </w:t>
      </w:r>
      <w:r>
        <w:rPr>
          <w:lang w:val="en-GB"/>
        </w:rPr>
        <w:t>T.V. FOUNTOULI</w:t>
      </w:r>
      <w:r>
        <w:rPr>
          <w:vertAlign w:val="superscript"/>
          <w:lang w:val="en-GB"/>
        </w:rPr>
        <w:t>1</w:t>
      </w:r>
      <w:r>
        <w:rPr>
          <w:lang w:val="en-GB"/>
        </w:rPr>
        <w:t xml:space="preserve">, </w:t>
      </w:r>
      <w:r w:rsidRPr="00DA1C80">
        <w:rPr>
          <w:lang w:val="en-GB"/>
        </w:rPr>
        <w:t>V. nikolaoy</w:t>
      </w:r>
      <w:r w:rsidR="00BF3E82" w:rsidRPr="00BF3E82">
        <w:rPr>
          <w:vertAlign w:val="superscript"/>
          <w:lang w:val="en-US"/>
        </w:rPr>
        <w:t>1</w:t>
      </w:r>
      <w:r w:rsidRPr="00DA1C80">
        <w:rPr>
          <w:lang w:val="en-GB"/>
        </w:rPr>
        <w:t>, c. matsouka</w:t>
      </w:r>
      <w:r w:rsidRPr="00DA1C80">
        <w:rPr>
          <w:vertAlign w:val="superscript"/>
          <w:lang w:val="en-GB"/>
        </w:rPr>
        <w:t>3</w:t>
      </w:r>
      <w:r w:rsidR="00101D84">
        <w:rPr>
          <w:vertAlign w:val="superscript"/>
          <w:lang w:val="en-GB"/>
        </w:rPr>
        <w:t>,4</w:t>
      </w:r>
      <w:r w:rsidRPr="00DA1C80">
        <w:rPr>
          <w:lang w:val="en-GB"/>
        </w:rPr>
        <w:t>, l. nalbandian</w:t>
      </w:r>
      <w:r w:rsidR="00101D84">
        <w:rPr>
          <w:vertAlign w:val="superscript"/>
          <w:lang w:val="en-GB"/>
        </w:rPr>
        <w:t>4</w:t>
      </w:r>
      <w:r w:rsidRPr="00DA1C80">
        <w:rPr>
          <w:lang w:val="en-GB"/>
        </w:rPr>
        <w:t>, V. zaspalis</w:t>
      </w:r>
      <w:r w:rsidRPr="00DA1C80">
        <w:rPr>
          <w:vertAlign w:val="superscript"/>
          <w:lang w:val="en-GB"/>
        </w:rPr>
        <w:t>3,4</w:t>
      </w:r>
      <w:r w:rsidRPr="00DA1C80">
        <w:rPr>
          <w:lang w:val="en-GB"/>
        </w:rPr>
        <w:t>, n.d. charisiou</w:t>
      </w:r>
      <w:r w:rsidRPr="00DA1C80">
        <w:rPr>
          <w:vertAlign w:val="superscript"/>
          <w:lang w:val="en-GB"/>
        </w:rPr>
        <w:t>5</w:t>
      </w:r>
      <w:r w:rsidRPr="00DA1C80">
        <w:rPr>
          <w:lang w:val="en-GB"/>
        </w:rPr>
        <w:t>, m.a</w:t>
      </w:r>
      <w:r w:rsidR="00E70967">
        <w:rPr>
          <w:lang w:val="en-GB"/>
        </w:rPr>
        <w:t>.</w:t>
      </w:r>
      <w:r w:rsidRPr="00DA1C80">
        <w:rPr>
          <w:lang w:val="en-GB"/>
        </w:rPr>
        <w:t xml:space="preserve"> goula</w:t>
      </w:r>
      <w:r w:rsidRPr="00DA1C80">
        <w:rPr>
          <w:vertAlign w:val="superscript"/>
          <w:lang w:val="en-GB"/>
        </w:rPr>
        <w:t>5,</w:t>
      </w:r>
      <w:r w:rsidRPr="00DA1C80">
        <w:rPr>
          <w:lang w:val="en-GB"/>
        </w:rPr>
        <w:t>*, i.v. yentekakis</w:t>
      </w:r>
      <w:r w:rsidRPr="00DA1C80">
        <w:rPr>
          <w:vertAlign w:val="superscript"/>
          <w:lang w:val="en-GB"/>
        </w:rPr>
        <w:t>1</w:t>
      </w:r>
      <w:r>
        <w:rPr>
          <w:vertAlign w:val="superscript"/>
          <w:lang w:val="en-GB"/>
        </w:rPr>
        <w:t>,</w:t>
      </w:r>
      <w:r w:rsidRPr="00276E02">
        <w:rPr>
          <w:lang w:val="en-GB"/>
        </w:rPr>
        <w:t>*</w:t>
      </w:r>
    </w:p>
    <w:p w14:paraId="5D87FAF5" w14:textId="77777777" w:rsidR="00122452" w:rsidRPr="00DA1C80" w:rsidRDefault="00122452" w:rsidP="00122452">
      <w:pPr>
        <w:rPr>
          <w:sz w:val="18"/>
          <w:vertAlign w:val="superscript"/>
          <w:lang w:val="en-GB"/>
        </w:rPr>
      </w:pPr>
    </w:p>
    <w:p w14:paraId="1AA32E9B" w14:textId="61419167" w:rsidR="00122452" w:rsidRPr="00101D84" w:rsidRDefault="00122452" w:rsidP="00122452">
      <w:pPr>
        <w:rPr>
          <w:iCs/>
          <w:sz w:val="18"/>
          <w:szCs w:val="18"/>
          <w:lang w:val="en-GB"/>
        </w:rPr>
      </w:pPr>
      <w:r w:rsidRPr="00101D84">
        <w:rPr>
          <w:sz w:val="18"/>
          <w:vertAlign w:val="superscript"/>
          <w:lang w:val="tr-TR"/>
        </w:rPr>
        <w:t>1</w:t>
      </w:r>
      <w:r w:rsidR="00C517C4" w:rsidRPr="00101D84">
        <w:rPr>
          <w:sz w:val="18"/>
          <w:vertAlign w:val="superscript"/>
          <w:lang w:val="tr-TR"/>
        </w:rPr>
        <w:t xml:space="preserve"> </w:t>
      </w:r>
      <w:r w:rsidRPr="00101D84">
        <w:rPr>
          <w:iCs/>
          <w:sz w:val="18"/>
          <w:szCs w:val="18"/>
          <w:lang w:val="en-GB"/>
        </w:rPr>
        <w:t>Laboratory of Physical Chemistry &amp; Chemical Processes, School of Environmental Engineering, Technical University of Crete, GR-73100 Chania, Greece</w:t>
      </w:r>
    </w:p>
    <w:p w14:paraId="013FA42A" w14:textId="6D757659" w:rsidR="00122452" w:rsidRPr="00101D84" w:rsidRDefault="00122452" w:rsidP="00122452">
      <w:pPr>
        <w:rPr>
          <w:iCs/>
          <w:sz w:val="18"/>
          <w:szCs w:val="18"/>
          <w:lang w:val="en-GB"/>
        </w:rPr>
      </w:pPr>
      <w:r w:rsidRPr="00101D84">
        <w:rPr>
          <w:iCs/>
          <w:sz w:val="18"/>
          <w:szCs w:val="18"/>
          <w:vertAlign w:val="superscript"/>
          <w:lang w:val="en-GB"/>
        </w:rPr>
        <w:t>2</w:t>
      </w:r>
      <w:r w:rsidRPr="00101D84">
        <w:rPr>
          <w:iCs/>
          <w:sz w:val="18"/>
          <w:szCs w:val="18"/>
          <w:vertAlign w:val="superscript"/>
          <w:lang w:val="en-US"/>
        </w:rPr>
        <w:t xml:space="preserve"> </w:t>
      </w:r>
      <w:r w:rsidR="00762791" w:rsidRPr="00101D84">
        <w:rPr>
          <w:iCs/>
          <w:sz w:val="18"/>
          <w:szCs w:val="18"/>
          <w:lang w:val="en-GB"/>
        </w:rPr>
        <w:t xml:space="preserve">School of Mineral Resources Engineering, Technical University of Crete, GR-73100 Chania, Greece </w:t>
      </w:r>
    </w:p>
    <w:p w14:paraId="4FDDF025" w14:textId="4C351506" w:rsidR="005739DD" w:rsidRDefault="00101D84" w:rsidP="00122452">
      <w:pPr>
        <w:rPr>
          <w:iCs/>
          <w:sz w:val="18"/>
          <w:szCs w:val="18"/>
          <w:lang w:val="en-GB"/>
        </w:rPr>
      </w:pPr>
      <w:r>
        <w:rPr>
          <w:iCs/>
          <w:sz w:val="18"/>
          <w:szCs w:val="18"/>
          <w:vertAlign w:val="superscript"/>
          <w:lang w:val="en-GB"/>
        </w:rPr>
        <w:t>3</w:t>
      </w:r>
      <w:r w:rsidR="005739DD" w:rsidRPr="00101D84">
        <w:rPr>
          <w:iCs/>
          <w:sz w:val="18"/>
          <w:szCs w:val="18"/>
          <w:lang w:val="en-GB"/>
        </w:rPr>
        <w:t xml:space="preserve"> </w:t>
      </w:r>
      <w:r w:rsidR="00C517C4" w:rsidRPr="00101D84">
        <w:rPr>
          <w:iCs/>
          <w:sz w:val="18"/>
          <w:szCs w:val="18"/>
          <w:lang w:val="en-GB"/>
        </w:rPr>
        <w:t>Dep</w:t>
      </w:r>
      <w:r>
        <w:rPr>
          <w:iCs/>
          <w:sz w:val="18"/>
          <w:szCs w:val="18"/>
          <w:lang w:val="en-GB"/>
        </w:rPr>
        <w:t>t.</w:t>
      </w:r>
      <w:r w:rsidR="00C517C4" w:rsidRPr="00101D84">
        <w:rPr>
          <w:iCs/>
          <w:sz w:val="18"/>
          <w:szCs w:val="18"/>
          <w:lang w:val="en-GB"/>
        </w:rPr>
        <w:t xml:space="preserve"> of Chemical Engineering, Aristotle University of Thessaloniki, GR-54124 Thessaloniki, Greece</w:t>
      </w:r>
    </w:p>
    <w:p w14:paraId="27E7C620" w14:textId="4CBB8327" w:rsidR="00101D84" w:rsidRPr="00101D84" w:rsidRDefault="00101D84" w:rsidP="00101D84">
      <w:pPr>
        <w:rPr>
          <w:iCs/>
          <w:sz w:val="18"/>
          <w:szCs w:val="18"/>
          <w:lang w:val="en-GB"/>
        </w:rPr>
      </w:pPr>
      <w:r>
        <w:rPr>
          <w:iCs/>
          <w:sz w:val="18"/>
          <w:szCs w:val="18"/>
          <w:vertAlign w:val="superscript"/>
          <w:lang w:val="en-GB"/>
        </w:rPr>
        <w:t>4</w:t>
      </w:r>
      <w:r w:rsidRPr="00101D84">
        <w:rPr>
          <w:iCs/>
          <w:sz w:val="18"/>
          <w:szCs w:val="18"/>
          <w:lang w:val="en-GB"/>
        </w:rPr>
        <w:t xml:space="preserve"> Chemical Processes and Energy Resources Institute, CERTH, GR-57001 </w:t>
      </w:r>
      <w:proofErr w:type="spellStart"/>
      <w:r w:rsidRPr="00101D84">
        <w:rPr>
          <w:iCs/>
          <w:sz w:val="18"/>
          <w:szCs w:val="18"/>
          <w:lang w:val="en-GB"/>
        </w:rPr>
        <w:t>Thermi</w:t>
      </w:r>
      <w:proofErr w:type="spellEnd"/>
      <w:r w:rsidRPr="00101D84">
        <w:rPr>
          <w:iCs/>
          <w:sz w:val="18"/>
          <w:szCs w:val="18"/>
          <w:lang w:val="en-GB"/>
        </w:rPr>
        <w:t xml:space="preserve">, Thessaloniki, Greece </w:t>
      </w:r>
    </w:p>
    <w:p w14:paraId="234CB2C3" w14:textId="2D3EB185" w:rsidR="005739DD" w:rsidRPr="005739DD" w:rsidRDefault="005739DD" w:rsidP="00122452">
      <w:pPr>
        <w:rPr>
          <w:iCs/>
          <w:sz w:val="18"/>
          <w:szCs w:val="18"/>
          <w:lang w:val="en-GB"/>
        </w:rPr>
      </w:pPr>
      <w:r>
        <w:rPr>
          <w:iCs/>
          <w:sz w:val="18"/>
          <w:szCs w:val="18"/>
          <w:vertAlign w:val="superscript"/>
          <w:lang w:val="en-GB"/>
        </w:rPr>
        <w:t>5</w:t>
      </w:r>
      <w:r>
        <w:rPr>
          <w:iCs/>
          <w:sz w:val="18"/>
          <w:szCs w:val="18"/>
          <w:lang w:val="en-GB"/>
        </w:rPr>
        <w:t xml:space="preserve"> </w:t>
      </w:r>
      <w:r w:rsidR="00762791" w:rsidRPr="00BA5002">
        <w:rPr>
          <w:iCs/>
          <w:sz w:val="18"/>
          <w:szCs w:val="18"/>
          <w:lang w:val="en-GB"/>
        </w:rPr>
        <w:t>Dep</w:t>
      </w:r>
      <w:r w:rsidR="00101D84">
        <w:rPr>
          <w:iCs/>
          <w:sz w:val="18"/>
          <w:szCs w:val="18"/>
          <w:lang w:val="en-GB"/>
        </w:rPr>
        <w:t>t.</w:t>
      </w:r>
      <w:r w:rsidR="00762791" w:rsidRPr="00BA5002">
        <w:rPr>
          <w:iCs/>
          <w:sz w:val="18"/>
          <w:szCs w:val="18"/>
          <w:lang w:val="en-GB"/>
        </w:rPr>
        <w:t xml:space="preserve"> of Chemical Engineering, University of Western Macedonia, GR-50100, Greece</w:t>
      </w:r>
    </w:p>
    <w:p w14:paraId="46CC5A88" w14:textId="0430B511" w:rsidR="00DA1C80" w:rsidRDefault="00122452" w:rsidP="00C517C4">
      <w:pPr>
        <w:pBdr>
          <w:bottom w:val="single" w:sz="12" w:space="1" w:color="auto"/>
        </w:pBdr>
        <w:spacing w:before="120"/>
        <w:jc w:val="left"/>
        <w:rPr>
          <w:i/>
          <w:lang w:val="en-US"/>
        </w:rPr>
      </w:pPr>
      <w:r w:rsidRPr="006C3F3F">
        <w:rPr>
          <w:sz w:val="18"/>
        </w:rPr>
        <w:t>*</w:t>
      </w:r>
      <w:r>
        <w:rPr>
          <w:sz w:val="18"/>
        </w:rPr>
        <w:t>corresponding author</w:t>
      </w:r>
      <w:r w:rsidR="00DA1C80">
        <w:rPr>
          <w:sz w:val="18"/>
        </w:rPr>
        <w:t>s</w:t>
      </w:r>
      <w:r w:rsidRPr="006C3F3F">
        <w:rPr>
          <w:sz w:val="18"/>
        </w:rPr>
        <w:t>:</w:t>
      </w:r>
      <w:r w:rsidR="000B38C8">
        <w:rPr>
          <w:sz w:val="18"/>
        </w:rPr>
        <w:t xml:space="preserve"> </w:t>
      </w:r>
      <w:r w:rsidR="00DA1C80" w:rsidRPr="00DA1C80">
        <w:rPr>
          <w:i/>
          <w:lang w:val="en-US"/>
        </w:rPr>
        <w:t>I.V. Yentekakis (</w:t>
      </w:r>
      <w:hyperlink r:id="rId5" w:history="1">
        <w:r w:rsidR="00DA1C80" w:rsidRPr="00DA1C80">
          <w:rPr>
            <w:rStyle w:val="-"/>
            <w:i/>
            <w:lang w:val="en-US"/>
          </w:rPr>
          <w:t>yyentek@isc.tuc.gr</w:t>
        </w:r>
      </w:hyperlink>
      <w:r w:rsidR="00DA1C80" w:rsidRPr="00DA1C80">
        <w:rPr>
          <w:i/>
          <w:lang w:val="en-US"/>
        </w:rPr>
        <w:t>); C. Drosou (</w:t>
      </w:r>
      <w:hyperlink r:id="rId6" w:history="1">
        <w:r w:rsidR="00DA1C80" w:rsidRPr="00DA1C80">
          <w:rPr>
            <w:rStyle w:val="-"/>
            <w:i/>
            <w:lang w:val="en-US"/>
          </w:rPr>
          <w:t>EDrodou@isc.tuc.gr</w:t>
        </w:r>
      </w:hyperlink>
      <w:r w:rsidR="00DA1C80" w:rsidRPr="00DA1C80">
        <w:rPr>
          <w:i/>
          <w:lang w:val="en-US"/>
        </w:rPr>
        <w:t>); M.A. Goula (</w:t>
      </w:r>
      <w:hyperlink r:id="rId7" w:history="1">
        <w:r w:rsidR="00DA1C80" w:rsidRPr="00DA1C80">
          <w:rPr>
            <w:rStyle w:val="-"/>
            <w:i/>
            <w:lang w:val="en-US"/>
          </w:rPr>
          <w:t>mgoula@uowm.gr</w:t>
        </w:r>
      </w:hyperlink>
      <w:r w:rsidR="00DA1C80" w:rsidRPr="00DA1C80">
        <w:rPr>
          <w:i/>
          <w:lang w:val="en-US"/>
        </w:rPr>
        <w:t>)</w:t>
      </w:r>
      <w:r w:rsidR="00C517C4">
        <w:rPr>
          <w:i/>
          <w:lang w:val="en-US"/>
        </w:rPr>
        <w:t>.</w:t>
      </w:r>
    </w:p>
    <w:p w14:paraId="1686F647" w14:textId="5255F0FA" w:rsidR="00F502E6" w:rsidRDefault="00F502E6" w:rsidP="00F502E6">
      <w:pPr>
        <w:pStyle w:val="Affiliations"/>
        <w:rPr>
          <w:lang w:val="en-GB"/>
        </w:rPr>
      </w:pPr>
    </w:p>
    <w:p w14:paraId="781AA7D9" w14:textId="2A48FB53" w:rsidR="00DA1C80" w:rsidRDefault="00DA1C80" w:rsidP="00DA1C80">
      <w:pPr>
        <w:pStyle w:val="Keywords"/>
        <w:rPr>
          <w:vertAlign w:val="subscript"/>
        </w:rPr>
      </w:pPr>
      <w:r w:rsidRPr="00CD273C">
        <w:t xml:space="preserve">Keywords: </w:t>
      </w:r>
      <w:r>
        <w:t>CO oxidation</w:t>
      </w:r>
      <w:r w:rsidRPr="00CD273C">
        <w:t xml:space="preserve">, </w:t>
      </w:r>
      <w:r>
        <w:rPr>
          <w:lang w:val="en-US"/>
        </w:rPr>
        <w:t xml:space="preserve">LSM perovskites, </w:t>
      </w:r>
      <w:r>
        <w:t>iridium</w:t>
      </w:r>
      <w:r>
        <w:rPr>
          <w:lang w:val="en-US"/>
        </w:rPr>
        <w:t xml:space="preserve">, </w:t>
      </w:r>
      <w:r w:rsidR="00525219">
        <w:rPr>
          <w:lang w:val="en-US"/>
        </w:rPr>
        <w:t>limit cycle behavior</w:t>
      </w:r>
      <w:r>
        <w:t>, rate hysteresis.</w:t>
      </w:r>
    </w:p>
    <w:p w14:paraId="31A6277E" w14:textId="77777777" w:rsidR="00DA1C80" w:rsidRPr="006170DD" w:rsidRDefault="00DA1C80" w:rsidP="00DA1C80">
      <w:pPr>
        <w:rPr>
          <w:lang w:val="en-GB"/>
        </w:rPr>
      </w:pPr>
    </w:p>
    <w:p w14:paraId="4E45E9C2" w14:textId="5296B9C7" w:rsidR="00DA1C80" w:rsidRPr="00525219" w:rsidRDefault="00DA1C80" w:rsidP="00DA1C80">
      <w:pPr>
        <w:rPr>
          <w:lang w:val="en-US"/>
        </w:rPr>
      </w:pPr>
      <w:r w:rsidRPr="00525219">
        <w:rPr>
          <w:lang w:val="en-US"/>
        </w:rPr>
        <w:t xml:space="preserve">The CO oxidation is one of the most extensively investigated reactions in heterogeneous catalysis, gaining renewed increasing attention, not only because for its demand in automotive and many stationary processes but also due to its very complicate behavior including steady state multiplicity, limit cycles and oscillations as well as chaotic behavior. On the other hand, </w:t>
      </w:r>
      <w:proofErr w:type="spellStart"/>
      <w:r w:rsidRPr="00525219">
        <w:rPr>
          <w:lang w:val="en-US"/>
        </w:rPr>
        <w:t>Ir</w:t>
      </w:r>
      <w:proofErr w:type="spellEnd"/>
      <w:r w:rsidRPr="00525219">
        <w:rPr>
          <w:lang w:val="en-US"/>
        </w:rPr>
        <w:t xml:space="preserve"> is a relatively cheap noble metal compared to the other ones of the group and its consideration in emissions control catalysis (i.e., Three-way catalytic converters of cars) and in other high temperature applications in CO processing catalysis (e.g., Fischer-</w:t>
      </w:r>
      <w:proofErr w:type="spellStart"/>
      <w:r w:rsidRPr="00525219">
        <w:rPr>
          <w:lang w:val="en-US"/>
        </w:rPr>
        <w:t>Tropsch</w:t>
      </w:r>
      <w:proofErr w:type="spellEnd"/>
      <w:r w:rsidRPr="00525219">
        <w:rPr>
          <w:lang w:val="en-US"/>
        </w:rPr>
        <w:t xml:space="preserve"> synthesis reactions, water gas shift reaction </w:t>
      </w:r>
      <w:proofErr w:type="spellStart"/>
      <w:r w:rsidRPr="00525219">
        <w:rPr>
          <w:lang w:val="en-US"/>
        </w:rPr>
        <w:t>e.t.c</w:t>
      </w:r>
      <w:proofErr w:type="spellEnd"/>
      <w:r w:rsidRPr="00525219">
        <w:rPr>
          <w:lang w:val="en-US"/>
        </w:rPr>
        <w:t xml:space="preserve">) can be renewed after the lately invented ways for </w:t>
      </w:r>
      <w:proofErr w:type="spellStart"/>
      <w:r w:rsidRPr="00525219">
        <w:rPr>
          <w:lang w:val="en-US"/>
        </w:rPr>
        <w:t>Ir</w:t>
      </w:r>
      <w:proofErr w:type="spellEnd"/>
      <w:r w:rsidRPr="00525219">
        <w:rPr>
          <w:lang w:val="en-US"/>
        </w:rPr>
        <w:t xml:space="preserve"> particles </w:t>
      </w:r>
      <w:r w:rsidRPr="00101D84">
        <w:rPr>
          <w:lang w:val="en-US"/>
        </w:rPr>
        <w:t xml:space="preserve">stabilization at stressing high temperature oxidative conditions. Here we report on the CO oxidation behavior over </w:t>
      </w:r>
      <w:proofErr w:type="spellStart"/>
      <w:r w:rsidRPr="00101D84">
        <w:rPr>
          <w:lang w:val="en-US"/>
        </w:rPr>
        <w:t>Ir</w:t>
      </w:r>
      <w:proofErr w:type="spellEnd"/>
      <w:r w:rsidRPr="00101D84">
        <w:rPr>
          <w:lang w:val="en-US"/>
        </w:rPr>
        <w:t>/La</w:t>
      </w:r>
      <w:r w:rsidR="00A35740" w:rsidRPr="00101D84">
        <w:rPr>
          <w:vertAlign w:val="subscript"/>
          <w:lang w:val="en-US"/>
        </w:rPr>
        <w:t>1-x</w:t>
      </w:r>
      <w:r w:rsidRPr="00101D84">
        <w:rPr>
          <w:lang w:val="en-US"/>
        </w:rPr>
        <w:t>Sr</w:t>
      </w:r>
      <w:r w:rsidR="00A35740" w:rsidRPr="00101D84">
        <w:rPr>
          <w:vertAlign w:val="subscript"/>
          <w:lang w:val="en-US"/>
        </w:rPr>
        <w:t>x</w:t>
      </w:r>
      <w:r w:rsidRPr="00101D84">
        <w:rPr>
          <w:lang w:val="en-US"/>
        </w:rPr>
        <w:t>M</w:t>
      </w:r>
      <w:r w:rsidR="00A35740" w:rsidRPr="00101D84">
        <w:rPr>
          <w:lang w:val="en-US"/>
        </w:rPr>
        <w:t>n</w:t>
      </w:r>
      <w:r w:rsidRPr="00101D84">
        <w:rPr>
          <w:lang w:val="en-US"/>
        </w:rPr>
        <w:t>O</w:t>
      </w:r>
      <w:r w:rsidR="00A35740" w:rsidRPr="00101D84">
        <w:rPr>
          <w:vertAlign w:val="subscript"/>
        </w:rPr>
        <w:t>3</w:t>
      </w:r>
      <w:r w:rsidRPr="00101D84">
        <w:rPr>
          <w:lang w:val="en-US"/>
        </w:rPr>
        <w:t xml:space="preserve"> catalysts in a wide range of temperatures (50-400</w:t>
      </w:r>
      <w:r w:rsidRPr="00101D84">
        <w:rPr>
          <w:vertAlign w:val="superscript"/>
          <w:lang w:val="en-US"/>
        </w:rPr>
        <w:t>o</w:t>
      </w:r>
      <w:r w:rsidRPr="00101D84">
        <w:rPr>
          <w:lang w:val="en-US"/>
        </w:rPr>
        <w:t>C) and oxygen excess conditions (</w:t>
      </w:r>
      <w:r w:rsidRPr="00101D84">
        <w:rPr>
          <w:lang w:val="tr-TR" w:eastAsia="tr-TR"/>
        </w:rPr>
        <w:t>1.0% v/v CO, 5.0% v/v O</w:t>
      </w:r>
      <w:r w:rsidRPr="00101D84">
        <w:rPr>
          <w:vertAlign w:val="subscript"/>
          <w:lang w:val="tr-TR" w:eastAsia="tr-TR"/>
        </w:rPr>
        <w:t>2</w:t>
      </w:r>
      <w:r w:rsidRPr="00101D84">
        <w:rPr>
          <w:lang w:val="tr-TR" w:eastAsia="tr-TR"/>
        </w:rPr>
        <w:t xml:space="preserve"> balanced with He, F</w:t>
      </w:r>
      <w:r w:rsidRPr="00101D84">
        <w:rPr>
          <w:vertAlign w:val="subscript"/>
          <w:lang w:val="tr-TR" w:eastAsia="tr-TR"/>
        </w:rPr>
        <w:t>T</w:t>
      </w:r>
      <w:r w:rsidR="00A31B1D">
        <w:rPr>
          <w:vertAlign w:val="subscript"/>
          <w:lang w:val="tr-TR" w:eastAsia="tr-TR"/>
        </w:rPr>
        <w:t xml:space="preserve"> </w:t>
      </w:r>
      <w:r w:rsidRPr="00101D84">
        <w:rPr>
          <w:lang w:val="tr-TR" w:eastAsia="tr-TR"/>
        </w:rPr>
        <w:t>=</w:t>
      </w:r>
      <w:r w:rsidR="00A31B1D">
        <w:rPr>
          <w:lang w:val="tr-TR" w:eastAsia="tr-TR"/>
        </w:rPr>
        <w:t xml:space="preserve"> </w:t>
      </w:r>
      <w:r w:rsidRPr="00101D84">
        <w:rPr>
          <w:lang w:val="tr-TR" w:eastAsia="tr-TR"/>
        </w:rPr>
        <w:t xml:space="preserve">160 mL/min, </w:t>
      </w:r>
      <w:r w:rsidR="00101D84">
        <w:rPr>
          <w:lang w:val="tr-TR" w:eastAsia="tr-TR"/>
        </w:rPr>
        <w:t>m</w:t>
      </w:r>
      <w:r w:rsidR="00101D84" w:rsidRPr="00101D84">
        <w:rPr>
          <w:vertAlign w:val="subscript"/>
          <w:lang w:val="tr-TR" w:eastAsia="tr-TR"/>
        </w:rPr>
        <w:t>cat</w:t>
      </w:r>
      <w:r w:rsidR="00A31B1D">
        <w:rPr>
          <w:vertAlign w:val="subscript"/>
          <w:lang w:val="tr-TR" w:eastAsia="tr-TR"/>
        </w:rPr>
        <w:t xml:space="preserve"> </w:t>
      </w:r>
      <w:r w:rsidR="00101D84">
        <w:rPr>
          <w:lang w:val="tr-TR" w:eastAsia="tr-TR"/>
        </w:rPr>
        <w:t>=</w:t>
      </w:r>
      <w:r w:rsidR="00A31B1D">
        <w:rPr>
          <w:lang w:val="tr-TR" w:eastAsia="tr-TR"/>
        </w:rPr>
        <w:t xml:space="preserve"> </w:t>
      </w:r>
      <w:r w:rsidR="00101D84">
        <w:rPr>
          <w:lang w:val="tr-TR" w:eastAsia="tr-TR"/>
        </w:rPr>
        <w:t xml:space="preserve">20 mg, </w:t>
      </w:r>
      <w:proofErr w:type="spellStart"/>
      <w:r w:rsidRPr="00101D84">
        <w:rPr>
          <w:lang w:val="en-US"/>
        </w:rPr>
        <w:t>wGHSV</w:t>
      </w:r>
      <w:proofErr w:type="spellEnd"/>
      <w:r w:rsidRPr="00101D84">
        <w:rPr>
          <w:lang w:val="en-US"/>
        </w:rPr>
        <w:t>=480 000mL/</w:t>
      </w:r>
      <w:proofErr w:type="spellStart"/>
      <w:r w:rsidRPr="00101D84">
        <w:rPr>
          <w:lang w:val="en-US"/>
        </w:rPr>
        <w:t>g</w:t>
      </w:r>
      <w:r w:rsidRPr="00101D84">
        <w:rPr>
          <w:vertAlign w:val="subscript"/>
          <w:lang w:val="en-US"/>
        </w:rPr>
        <w:t>cat</w:t>
      </w:r>
      <w:r w:rsidRPr="00101D84">
        <w:rPr>
          <w:lang w:val="en-US"/>
        </w:rPr>
        <w:t>h</w:t>
      </w:r>
      <w:proofErr w:type="spellEnd"/>
      <w:r w:rsidRPr="00101D84">
        <w:rPr>
          <w:lang w:val="en-US"/>
        </w:rPr>
        <w:t>).</w:t>
      </w:r>
      <w:r w:rsidR="00A368CC" w:rsidRPr="00101D84">
        <w:rPr>
          <w:lang w:val="en-US"/>
        </w:rPr>
        <w:t xml:space="preserve"> </w:t>
      </w:r>
      <w:r w:rsidR="00F80BBA" w:rsidRPr="00101D84">
        <w:rPr>
          <w:lang w:val="en-US"/>
        </w:rPr>
        <w:t xml:space="preserve">The </w:t>
      </w:r>
      <w:r w:rsidR="00F80BBA" w:rsidRPr="00101D84">
        <w:t>La</w:t>
      </w:r>
      <w:r w:rsidR="00F80BBA" w:rsidRPr="00101D84">
        <w:rPr>
          <w:vertAlign w:val="subscript"/>
          <w:lang w:val="en-US"/>
        </w:rPr>
        <w:t>1-x</w:t>
      </w:r>
      <w:r w:rsidR="00F80BBA" w:rsidRPr="00101D84">
        <w:rPr>
          <w:lang w:val="en-US"/>
        </w:rPr>
        <w:t>Sr</w:t>
      </w:r>
      <w:r w:rsidR="00F80BBA" w:rsidRPr="00101D84">
        <w:rPr>
          <w:vertAlign w:val="subscript"/>
          <w:lang w:val="en-US"/>
        </w:rPr>
        <w:t>x</w:t>
      </w:r>
      <w:r w:rsidR="00F80BBA" w:rsidRPr="00101D84">
        <w:rPr>
          <w:lang w:val="en-US"/>
        </w:rPr>
        <w:t>MnO</w:t>
      </w:r>
      <w:r w:rsidR="00F80BBA" w:rsidRPr="00101D84">
        <w:rPr>
          <w:vertAlign w:val="subscript"/>
          <w:lang w:val="en-US"/>
        </w:rPr>
        <w:t>3</w:t>
      </w:r>
      <w:r w:rsidR="00F80BBA" w:rsidRPr="00101D84">
        <w:rPr>
          <w:lang w:val="en-US"/>
        </w:rPr>
        <w:t xml:space="preserve"> (x=0, 0.3, 0.5, and 0.7) perovskites</w:t>
      </w:r>
      <w:r w:rsidR="00F80BBA" w:rsidRPr="00101D84">
        <w:t xml:space="preserve"> </w:t>
      </w:r>
      <w:r w:rsidR="00A368CC" w:rsidRPr="00101D84">
        <w:t xml:space="preserve">were prepared by a co-precipitation method while the addition of Ir (2% w/w Ir loading) on the perovskite powders was </w:t>
      </w:r>
      <w:r w:rsidR="00F80BBA" w:rsidRPr="00101D84">
        <w:t>employed</w:t>
      </w:r>
      <w:r w:rsidR="00A368CC" w:rsidRPr="00101D84">
        <w:t xml:space="preserve"> by the wet impregnation method.</w:t>
      </w:r>
      <w:r w:rsidRPr="00101D84">
        <w:rPr>
          <w:lang w:val="en-US"/>
        </w:rPr>
        <w:t xml:space="preserve"> Several pretreatment protocols were </w:t>
      </w:r>
      <w:r w:rsidR="00F80BBA" w:rsidRPr="00101D84">
        <w:rPr>
          <w:lang w:val="en-US"/>
        </w:rPr>
        <w:t>imposed</w:t>
      </w:r>
      <w:r w:rsidRPr="00101D84">
        <w:rPr>
          <w:lang w:val="en-US"/>
        </w:rPr>
        <w:t xml:space="preserve"> in order to investigate in detail the stability of the catalysts and the limit cycle reaction behavior observed with counterclockwise hysteresis versus temperature.  </w:t>
      </w:r>
      <w:r w:rsidR="00A35740" w:rsidRPr="00101D84">
        <w:rPr>
          <w:lang w:val="en-US"/>
        </w:rPr>
        <w:t xml:space="preserve">Moreover, </w:t>
      </w:r>
      <w:r w:rsidR="00A35740" w:rsidRPr="00101D84">
        <w:t xml:space="preserve">the textural and structural properties of </w:t>
      </w:r>
      <w:proofErr w:type="spellStart"/>
      <w:r w:rsidR="00A35740" w:rsidRPr="00101D84">
        <w:rPr>
          <w:lang w:val="en-US"/>
        </w:rPr>
        <w:t>Ir</w:t>
      </w:r>
      <w:proofErr w:type="spellEnd"/>
      <w:r w:rsidR="00A35740" w:rsidRPr="00101D84">
        <w:rPr>
          <w:lang w:val="en-US"/>
        </w:rPr>
        <w:t>/La</w:t>
      </w:r>
      <w:r w:rsidR="00A35740" w:rsidRPr="00101D84">
        <w:rPr>
          <w:vertAlign w:val="subscript"/>
          <w:lang w:val="en-US"/>
        </w:rPr>
        <w:t>1-x</w:t>
      </w:r>
      <w:r w:rsidR="00A35740" w:rsidRPr="00101D84">
        <w:rPr>
          <w:lang w:val="en-US"/>
        </w:rPr>
        <w:t>Sr</w:t>
      </w:r>
      <w:r w:rsidR="00A35740" w:rsidRPr="00101D84">
        <w:rPr>
          <w:vertAlign w:val="subscript"/>
          <w:lang w:val="en-US"/>
        </w:rPr>
        <w:t>x</w:t>
      </w:r>
      <w:r w:rsidR="00A35740" w:rsidRPr="00101D84">
        <w:rPr>
          <w:lang w:val="en-US"/>
        </w:rPr>
        <w:t>MnO</w:t>
      </w:r>
      <w:r w:rsidR="00A35740" w:rsidRPr="00101D84">
        <w:rPr>
          <w:vertAlign w:val="subscript"/>
        </w:rPr>
        <w:t>3</w:t>
      </w:r>
      <w:r w:rsidR="00A35740" w:rsidRPr="00101D84">
        <w:rPr>
          <w:lang w:val="en-US"/>
        </w:rPr>
        <w:t xml:space="preserve"> catalysts</w:t>
      </w:r>
      <w:r w:rsidR="00A35740" w:rsidRPr="00101D84">
        <w:t xml:space="preserve"> were evaluated by various techniques, such as X-ray diffraction (XRD), BET-BJH N</w:t>
      </w:r>
      <w:r w:rsidR="00A35740" w:rsidRPr="00101D84">
        <w:rPr>
          <w:vertAlign w:val="subscript"/>
        </w:rPr>
        <w:t>2</w:t>
      </w:r>
      <w:r w:rsidR="00A35740" w:rsidRPr="00101D84">
        <w:t xml:space="preserve"> adsorption-desorption method, temperature-programmed reduction by H</w:t>
      </w:r>
      <w:r w:rsidR="00A35740" w:rsidRPr="00101D84">
        <w:rPr>
          <w:vertAlign w:val="subscript"/>
        </w:rPr>
        <w:t>2</w:t>
      </w:r>
      <w:r w:rsidR="00A35740" w:rsidRPr="00101D84">
        <w:t xml:space="preserve"> (H</w:t>
      </w:r>
      <w:r w:rsidR="00A35740" w:rsidRPr="00101D84">
        <w:rPr>
          <w:vertAlign w:val="subscript"/>
        </w:rPr>
        <w:t>2</w:t>
      </w:r>
      <w:r w:rsidR="00A35740" w:rsidRPr="00101D84">
        <w:t>-TPR), and isothermal H</w:t>
      </w:r>
      <w:r w:rsidR="00A35740" w:rsidRPr="00101D84">
        <w:rPr>
          <w:vertAlign w:val="subscript"/>
        </w:rPr>
        <w:t>2</w:t>
      </w:r>
      <w:r w:rsidR="00A35740" w:rsidRPr="00101D84">
        <w:t xml:space="preserve"> chemisorption (H</w:t>
      </w:r>
      <w:r w:rsidR="00A35740" w:rsidRPr="00101D84">
        <w:rPr>
          <w:vertAlign w:val="subscript"/>
        </w:rPr>
        <w:t>2</w:t>
      </w:r>
      <w:r w:rsidR="00A35740" w:rsidRPr="00101D84">
        <w:t xml:space="preserve">-Chem) </w:t>
      </w:r>
      <w:r w:rsidR="00BF3E82" w:rsidRPr="00101D84">
        <w:t xml:space="preserve">in order to better understand the </w:t>
      </w:r>
      <w:r w:rsidR="00BF3E82" w:rsidRPr="00101D84">
        <w:rPr>
          <w:lang w:val="en-US"/>
        </w:rPr>
        <w:t>correlation</w:t>
      </w:r>
      <w:r w:rsidR="00BF3E82" w:rsidRPr="00101D84">
        <w:t xml:space="preserve"> between the structure</w:t>
      </w:r>
      <w:r w:rsidR="00F80BBA" w:rsidRPr="00101D84">
        <w:t xml:space="preserve"> or other physicochemical properties of the </w:t>
      </w:r>
      <w:r w:rsidR="00BF3E82" w:rsidRPr="00101D84">
        <w:t xml:space="preserve"> </w:t>
      </w:r>
      <w:r w:rsidR="00F80BBA" w:rsidRPr="00101D84">
        <w:t xml:space="preserve">syntesized </w:t>
      </w:r>
      <w:proofErr w:type="spellStart"/>
      <w:r w:rsidR="00BF3E82" w:rsidRPr="00101D84">
        <w:rPr>
          <w:lang w:val="en-US"/>
        </w:rPr>
        <w:t>Ir</w:t>
      </w:r>
      <w:proofErr w:type="spellEnd"/>
      <w:r w:rsidR="00BF3E82" w:rsidRPr="00101D84">
        <w:rPr>
          <w:lang w:val="en-US"/>
        </w:rPr>
        <w:t>/La</w:t>
      </w:r>
      <w:r w:rsidR="00BF3E82" w:rsidRPr="00101D84">
        <w:rPr>
          <w:vertAlign w:val="subscript"/>
          <w:lang w:val="en-US"/>
        </w:rPr>
        <w:t>1-x</w:t>
      </w:r>
      <w:r w:rsidR="00BF3E82" w:rsidRPr="00101D84">
        <w:rPr>
          <w:lang w:val="en-US"/>
        </w:rPr>
        <w:t>Sr</w:t>
      </w:r>
      <w:r w:rsidR="00BF3E82" w:rsidRPr="00101D84">
        <w:rPr>
          <w:vertAlign w:val="subscript"/>
          <w:lang w:val="en-US"/>
        </w:rPr>
        <w:t>x</w:t>
      </w:r>
      <w:r w:rsidR="00BF3E82" w:rsidRPr="00101D84">
        <w:rPr>
          <w:lang w:val="en-US"/>
        </w:rPr>
        <w:t>MnO</w:t>
      </w:r>
      <w:r w:rsidR="00BF3E82" w:rsidRPr="00101D84">
        <w:rPr>
          <w:vertAlign w:val="subscript"/>
        </w:rPr>
        <w:t>3</w:t>
      </w:r>
      <w:r w:rsidR="00BF3E82" w:rsidRPr="00101D84">
        <w:rPr>
          <w:lang w:val="en-US"/>
        </w:rPr>
        <w:t xml:space="preserve"> </w:t>
      </w:r>
      <w:r w:rsidR="00BF3E82" w:rsidRPr="00101D84">
        <w:t xml:space="preserve">catalysts </w:t>
      </w:r>
      <w:r w:rsidR="00F80BBA" w:rsidRPr="00101D84">
        <w:t>with</w:t>
      </w:r>
      <w:r w:rsidR="00BF3E82" w:rsidRPr="00101D84">
        <w:t xml:space="preserve"> their activity and stability</w:t>
      </w:r>
      <w:r w:rsidR="00BF3E82" w:rsidRPr="00101D84">
        <w:rPr>
          <w:lang w:val="en-US"/>
        </w:rPr>
        <w:t>.</w:t>
      </w:r>
    </w:p>
    <w:p w14:paraId="5BF6AA83" w14:textId="77777777" w:rsidR="00A368CC" w:rsidRDefault="00A368CC" w:rsidP="00DA1C80">
      <w:pPr>
        <w:rPr>
          <w:lang w:val="en-US"/>
        </w:rPr>
      </w:pPr>
    </w:p>
    <w:p w14:paraId="2985CB08" w14:textId="5A96C84A" w:rsidR="00DE0209" w:rsidRDefault="00DA1C80" w:rsidP="008872D2">
      <w:pPr>
        <w:rPr>
          <w:i/>
          <w:color w:val="000000"/>
          <w:lang w:val="en-US"/>
        </w:rPr>
      </w:pPr>
      <w:r w:rsidRPr="004D3F29">
        <w:rPr>
          <w:b/>
          <w:lang w:val="en-US"/>
        </w:rPr>
        <w:t>Acknowledgements</w:t>
      </w:r>
      <w:r w:rsidRPr="00E063A1">
        <w:rPr>
          <w:b/>
          <w:lang w:val="en-US"/>
        </w:rPr>
        <w:t xml:space="preserve">: </w:t>
      </w:r>
      <w:r w:rsidRPr="00FF5AA4">
        <w:rPr>
          <w:lang w:val="en-US"/>
        </w:rPr>
        <w:t xml:space="preserve">Financial support by the </w:t>
      </w:r>
      <w:r w:rsidRPr="00FF5AA4">
        <w:rPr>
          <w:i/>
          <w:color w:val="000000"/>
          <w:lang w:val="en-US"/>
        </w:rPr>
        <w:t>GREEK-CHINESE BILATERAL RESEARCH AND INNOVATION C</w:t>
      </w:r>
      <w:r>
        <w:rPr>
          <w:i/>
          <w:color w:val="000000"/>
          <w:lang w:val="en-US"/>
        </w:rPr>
        <w:t xml:space="preserve">OOPERATION, 2018-2021 </w:t>
      </w:r>
      <w:proofErr w:type="spellStart"/>
      <w:r>
        <w:rPr>
          <w:i/>
          <w:color w:val="000000"/>
          <w:lang w:val="en-US"/>
        </w:rPr>
        <w:t>programme</w:t>
      </w:r>
      <w:proofErr w:type="spellEnd"/>
      <w:r w:rsidRPr="00FF5AA4">
        <w:rPr>
          <w:i/>
          <w:color w:val="000000"/>
          <w:lang w:val="en-US"/>
        </w:rPr>
        <w:t xml:space="preserve"> (Project No: T7</w:t>
      </w:r>
      <w:r>
        <w:rPr>
          <w:i/>
          <w:color w:val="000000"/>
        </w:rPr>
        <w:t>ΔΚ</w:t>
      </w:r>
      <w:r w:rsidRPr="00FF5AA4">
        <w:rPr>
          <w:i/>
          <w:color w:val="000000"/>
          <w:lang w:val="en-US"/>
        </w:rPr>
        <w:t>I-00356) is gratefully acknowledged.</w:t>
      </w:r>
    </w:p>
    <w:p w14:paraId="6E2B78B3" w14:textId="658E9F9D" w:rsidR="00A368CC" w:rsidRDefault="000B38C8" w:rsidP="008872D2">
      <w:pPr>
        <w:rPr>
          <w:i/>
          <w:color w:val="000000"/>
          <w:lang w:val="en-US"/>
        </w:rPr>
      </w:pPr>
      <w:r w:rsidRPr="008872D2">
        <w:rPr>
          <w:i/>
          <w:noProof/>
          <w:color w:val="000000" w:themeColor="text1"/>
          <w:lang w:val="en-US" w:eastAsia="en-US"/>
        </w:rPr>
        <w:drawing>
          <wp:anchor distT="0" distB="0" distL="114300" distR="114300" simplePos="0" relativeHeight="251663360" behindDoc="1" locked="0" layoutInCell="1" allowOverlap="1" wp14:anchorId="23F31159" wp14:editId="2B8E36FC">
            <wp:simplePos x="0" y="0"/>
            <wp:positionH relativeFrom="page">
              <wp:posOffset>3489960</wp:posOffset>
            </wp:positionH>
            <wp:positionV relativeFrom="paragraph">
              <wp:posOffset>59690</wp:posOffset>
            </wp:positionV>
            <wp:extent cx="882015" cy="501650"/>
            <wp:effectExtent l="0" t="0" r="0" b="0"/>
            <wp:wrapTight wrapText="bothSides">
              <wp:wrapPolygon edited="0">
                <wp:start x="0" y="0"/>
                <wp:lineTo x="0" y="20506"/>
                <wp:lineTo x="20994" y="20506"/>
                <wp:lineTo x="20994"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82015" cy="50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72D2">
        <w:rPr>
          <w:i/>
          <w:noProof/>
          <w:color w:val="000000" w:themeColor="text1"/>
          <w:lang w:val="en-US" w:eastAsia="en-US"/>
        </w:rPr>
        <w:drawing>
          <wp:anchor distT="0" distB="0" distL="114300" distR="114300" simplePos="0" relativeHeight="251662336" behindDoc="1" locked="0" layoutInCell="1" allowOverlap="1" wp14:anchorId="372B3588" wp14:editId="0D606091">
            <wp:simplePos x="0" y="0"/>
            <wp:positionH relativeFrom="column">
              <wp:posOffset>1550035</wp:posOffset>
            </wp:positionH>
            <wp:positionV relativeFrom="paragraph">
              <wp:posOffset>62865</wp:posOffset>
            </wp:positionV>
            <wp:extent cx="1234440" cy="527050"/>
            <wp:effectExtent l="19050" t="19050" r="22860" b="25400"/>
            <wp:wrapTight wrapText="bothSides">
              <wp:wrapPolygon edited="0">
                <wp:start x="-333" y="-781"/>
                <wp:lineTo x="-333" y="21860"/>
                <wp:lineTo x="21667" y="21860"/>
                <wp:lineTo x="21667" y="-781"/>
                <wp:lineTo x="-333" y="-781"/>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10000"/>
                    </a:blip>
                    <a:srcRect/>
                    <a:stretch>
                      <a:fillRect/>
                    </a:stretch>
                  </pic:blipFill>
                  <pic:spPr bwMode="auto">
                    <a:xfrm>
                      <a:off x="0" y="0"/>
                      <a:ext cx="1234440" cy="527050"/>
                    </a:xfrm>
                    <a:prstGeom prst="rect">
                      <a:avLst/>
                    </a:prstGeom>
                    <a:noFill/>
                    <a:ln w="9525">
                      <a:solidFill>
                        <a:schemeClr val="tx2">
                          <a:lumMod val="20000"/>
                          <a:lumOff val="80000"/>
                        </a:schemeClr>
                      </a:solidFill>
                      <a:miter lim="800000"/>
                      <a:headEnd/>
                      <a:tailEnd/>
                    </a:ln>
                  </pic:spPr>
                </pic:pic>
              </a:graphicData>
            </a:graphic>
            <wp14:sizeRelH relativeFrom="margin">
              <wp14:pctWidth>0</wp14:pctWidth>
            </wp14:sizeRelH>
            <wp14:sizeRelV relativeFrom="margin">
              <wp14:pctHeight>0</wp14:pctHeight>
            </wp14:sizeRelV>
          </wp:anchor>
        </w:drawing>
      </w:r>
      <w:r w:rsidRPr="008872D2">
        <w:rPr>
          <w:i/>
          <w:noProof/>
          <w:color w:val="000000" w:themeColor="text1"/>
          <w:lang w:val="en-US" w:eastAsia="en-US"/>
        </w:rPr>
        <w:drawing>
          <wp:anchor distT="0" distB="0" distL="114300" distR="114300" simplePos="0" relativeHeight="251661312" behindDoc="1" locked="0" layoutInCell="1" allowOverlap="1" wp14:anchorId="7BD7B6E2" wp14:editId="3D6DF9E6">
            <wp:simplePos x="0" y="0"/>
            <wp:positionH relativeFrom="column">
              <wp:posOffset>776605</wp:posOffset>
            </wp:positionH>
            <wp:positionV relativeFrom="paragraph">
              <wp:posOffset>62865</wp:posOffset>
            </wp:positionV>
            <wp:extent cx="661035" cy="450850"/>
            <wp:effectExtent l="0" t="0" r="5715" b="6350"/>
            <wp:wrapTight wrapText="bothSides">
              <wp:wrapPolygon edited="0">
                <wp:start x="0" y="0"/>
                <wp:lineTo x="0" y="20992"/>
                <wp:lineTo x="21164" y="20992"/>
                <wp:lineTo x="21164"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1035" cy="45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8"/>
          <w:lang w:val="en-US" w:eastAsia="en-US"/>
        </w:rPr>
        <w:drawing>
          <wp:anchor distT="0" distB="0" distL="114300" distR="114300" simplePos="0" relativeHeight="251659264" behindDoc="1" locked="0" layoutInCell="1" allowOverlap="1" wp14:anchorId="45C7A7F2" wp14:editId="183AF337">
            <wp:simplePos x="0" y="0"/>
            <wp:positionH relativeFrom="margin">
              <wp:posOffset>16510</wp:posOffset>
            </wp:positionH>
            <wp:positionV relativeFrom="paragraph">
              <wp:posOffset>62865</wp:posOffset>
            </wp:positionV>
            <wp:extent cx="654050" cy="546100"/>
            <wp:effectExtent l="0" t="0" r="0" b="6350"/>
            <wp:wrapTight wrapText="bothSides">
              <wp:wrapPolygon edited="0">
                <wp:start x="0" y="0"/>
                <wp:lineTo x="0" y="21098"/>
                <wp:lineTo x="20761" y="21098"/>
                <wp:lineTo x="2076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4050"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bookmarkEnd w:id="0"/>
    <w:p w14:paraId="0E30414B" w14:textId="0EF40ABB" w:rsidR="008872D2" w:rsidRDefault="008872D2" w:rsidP="00BF3E82">
      <w:pPr>
        <w:rPr>
          <w:lang w:val="en-US"/>
        </w:rPr>
      </w:pPr>
    </w:p>
    <w:p w14:paraId="09E01913" w14:textId="77777777" w:rsidR="000B38C8" w:rsidRDefault="000B38C8" w:rsidP="00BF3E82">
      <w:pPr>
        <w:rPr>
          <w:lang w:val="en-US"/>
        </w:rPr>
      </w:pPr>
    </w:p>
    <w:p w14:paraId="752E91DD" w14:textId="77777777" w:rsidR="000B38C8" w:rsidRDefault="000B38C8" w:rsidP="00BF3E82">
      <w:pPr>
        <w:rPr>
          <w:lang w:val="en-US"/>
        </w:rPr>
      </w:pPr>
    </w:p>
    <w:sectPr w:rsidR="000B38C8" w:rsidSect="00F502E6">
      <w:pgSz w:w="9639" w:h="13608"/>
      <w:pgMar w:top="851" w:right="680"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D4A90A"/>
    <w:lvl w:ilvl="0">
      <w:start w:val="1"/>
      <w:numFmt w:val="decimal"/>
      <w:lvlText w:val="%1."/>
      <w:lvlJc w:val="left"/>
      <w:pPr>
        <w:tabs>
          <w:tab w:val="num" w:pos="360"/>
        </w:tabs>
        <w:ind w:left="360" w:hanging="360"/>
      </w:pPr>
    </w:lvl>
  </w:abstractNum>
  <w:abstractNum w:abstractNumId="1" w15:restartNumberingAfterBreak="0">
    <w:nsid w:val="2446433F"/>
    <w:multiLevelType w:val="hybridMultilevel"/>
    <w:tmpl w:val="16A03D3C"/>
    <w:lvl w:ilvl="0" w:tplc="C714CC5A">
      <w:numFmt w:val="bullet"/>
      <w:pStyle w:val="1"/>
      <w:lvlText w:val="▪"/>
      <w:lvlJc w:val="left"/>
      <w:pPr>
        <w:tabs>
          <w:tab w:val="num" w:pos="284"/>
        </w:tabs>
        <w:ind w:left="284" w:hanging="28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A4DB2"/>
    <w:multiLevelType w:val="hybridMultilevel"/>
    <w:tmpl w:val="B7060D2E"/>
    <w:lvl w:ilvl="0" w:tplc="DE8E87A8">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LewMDIxNTa1MLJQ0lEKTi0uzszPAykwrQUAX1ZCjiwAAAA="/>
  </w:docVars>
  <w:rsids>
    <w:rsidRoot w:val="008D701F"/>
    <w:rsid w:val="000821E5"/>
    <w:rsid w:val="00097563"/>
    <w:rsid w:val="000B38C8"/>
    <w:rsid w:val="00101D84"/>
    <w:rsid w:val="00122452"/>
    <w:rsid w:val="001320CE"/>
    <w:rsid w:val="00187DC9"/>
    <w:rsid w:val="00190378"/>
    <w:rsid w:val="001D4BC3"/>
    <w:rsid w:val="001F0914"/>
    <w:rsid w:val="002331DD"/>
    <w:rsid w:val="00420927"/>
    <w:rsid w:val="00427242"/>
    <w:rsid w:val="00516DEF"/>
    <w:rsid w:val="00525219"/>
    <w:rsid w:val="005403B1"/>
    <w:rsid w:val="005739DD"/>
    <w:rsid w:val="005D32FB"/>
    <w:rsid w:val="005F38B7"/>
    <w:rsid w:val="00600F76"/>
    <w:rsid w:val="006C647A"/>
    <w:rsid w:val="00762791"/>
    <w:rsid w:val="007B18A2"/>
    <w:rsid w:val="00833308"/>
    <w:rsid w:val="008872D2"/>
    <w:rsid w:val="008A203B"/>
    <w:rsid w:val="008B3A01"/>
    <w:rsid w:val="008B3A81"/>
    <w:rsid w:val="008D701F"/>
    <w:rsid w:val="00914919"/>
    <w:rsid w:val="009B4F02"/>
    <w:rsid w:val="009B6377"/>
    <w:rsid w:val="00A31B1D"/>
    <w:rsid w:val="00A35740"/>
    <w:rsid w:val="00A368CC"/>
    <w:rsid w:val="00A95473"/>
    <w:rsid w:val="00B0175F"/>
    <w:rsid w:val="00BF3E82"/>
    <w:rsid w:val="00C015AC"/>
    <w:rsid w:val="00C517C4"/>
    <w:rsid w:val="00DA1C80"/>
    <w:rsid w:val="00DE0209"/>
    <w:rsid w:val="00DF2E60"/>
    <w:rsid w:val="00E20E1B"/>
    <w:rsid w:val="00E549AE"/>
    <w:rsid w:val="00E70967"/>
    <w:rsid w:val="00E734F7"/>
    <w:rsid w:val="00E915AC"/>
    <w:rsid w:val="00F502E6"/>
    <w:rsid w:val="00F7799B"/>
    <w:rsid w:val="00F80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CCE5"/>
  <w15:docId w15:val="{15C0A058-8BC5-4D3D-8E86-C509D4A9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7DB"/>
    <w:pPr>
      <w:spacing w:line="240" w:lineRule="atLeast"/>
      <w:jc w:val="both"/>
    </w:pPr>
    <w:rPr>
      <w:lang w:val="it-IT" w:eastAsia="it-IT"/>
    </w:rPr>
  </w:style>
  <w:style w:type="paragraph" w:styleId="10">
    <w:name w:val="heading 1"/>
    <w:basedOn w:val="a"/>
    <w:next w:val="a"/>
    <w:link w:val="1Char"/>
    <w:qFormat/>
    <w:rsid w:val="009207DB"/>
    <w:pPr>
      <w:outlineLvl w:val="0"/>
    </w:pPr>
    <w:rPr>
      <w:rFonts w:ascii="TimesNewRoman" w:hAnsi="TimesNewRoman"/>
      <w:b/>
      <w:caps/>
      <w:sz w:val="28"/>
      <w:szCs w:val="28"/>
    </w:rPr>
  </w:style>
  <w:style w:type="paragraph" w:styleId="2">
    <w:name w:val="heading 2"/>
    <w:basedOn w:val="a"/>
    <w:next w:val="a"/>
    <w:qFormat/>
    <w:rsid w:val="0059255C"/>
    <w:pPr>
      <w:keepNext/>
      <w:outlineLvl w:val="1"/>
    </w:pPr>
    <w:rPr>
      <w:rFonts w:cs="Arial"/>
      <w:b/>
      <w:bCs/>
      <w:iCs/>
      <w:szCs w:val="28"/>
    </w:rPr>
  </w:style>
  <w:style w:type="paragraph" w:styleId="3">
    <w:name w:val="heading 3"/>
    <w:basedOn w:val="a"/>
    <w:next w:val="a"/>
    <w:qFormat/>
    <w:rsid w:val="0059255C"/>
    <w:pPr>
      <w:keepNext/>
      <w:outlineLvl w:val="2"/>
    </w:pPr>
    <w:rPr>
      <w:rFonts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 words"/>
    <w:basedOn w:val="a"/>
    <w:rsid w:val="009207DB"/>
    <w:rPr>
      <w:i/>
      <w:lang w:val="en-GB"/>
    </w:rPr>
  </w:style>
  <w:style w:type="paragraph" w:customStyle="1" w:styleId="Bodyofthedocument">
    <w:name w:val="Body of the document"/>
    <w:basedOn w:val="a"/>
    <w:rsid w:val="009207DB"/>
    <w:pPr>
      <w:ind w:firstLine="284"/>
    </w:pPr>
    <w:rPr>
      <w:lang w:val="en-GB"/>
    </w:rPr>
  </w:style>
  <w:style w:type="paragraph" w:customStyle="1" w:styleId="Affiliations">
    <w:name w:val="Affiliations"/>
    <w:basedOn w:val="a"/>
    <w:rsid w:val="009207DB"/>
    <w:rPr>
      <w:i/>
    </w:rPr>
  </w:style>
  <w:style w:type="paragraph" w:customStyle="1" w:styleId="AUTHOR">
    <w:name w:val="AUTHOR"/>
    <w:basedOn w:val="a"/>
    <w:rsid w:val="009207DB"/>
    <w:rPr>
      <w:caps/>
    </w:rPr>
  </w:style>
  <w:style w:type="paragraph" w:customStyle="1" w:styleId="Figureortable">
    <w:name w:val="Figure or table"/>
    <w:basedOn w:val="a"/>
    <w:rsid w:val="009207DB"/>
    <w:pPr>
      <w:jc w:val="center"/>
    </w:pPr>
  </w:style>
  <w:style w:type="paragraph" w:customStyle="1" w:styleId="legendoffigureortable">
    <w:name w:val="legend of figure or table"/>
    <w:basedOn w:val="a"/>
    <w:rsid w:val="00705B1F"/>
    <w:pPr>
      <w:spacing w:before="60"/>
      <w:ind w:left="794" w:hanging="794"/>
    </w:pPr>
    <w:rPr>
      <w:lang w:val="en-GB"/>
    </w:rPr>
  </w:style>
  <w:style w:type="paragraph" w:customStyle="1" w:styleId="1">
    <w:name w:val="Λίστα1"/>
    <w:basedOn w:val="a"/>
    <w:next w:val="Bodyofthedocument"/>
    <w:rsid w:val="000B1ABD"/>
    <w:pPr>
      <w:numPr>
        <w:numId w:val="3"/>
      </w:numPr>
    </w:pPr>
    <w:rPr>
      <w:rFonts w:eastAsia="MS Mincho"/>
      <w:lang w:eastAsia="ja-JP"/>
    </w:rPr>
  </w:style>
  <w:style w:type="character" w:customStyle="1" w:styleId="1Char">
    <w:name w:val="Επικεφαλίδα 1 Char"/>
    <w:link w:val="10"/>
    <w:rsid w:val="000B1ABD"/>
    <w:rPr>
      <w:rFonts w:ascii="TimesNewRoman" w:hAnsi="TimesNewRoman"/>
      <w:b/>
      <w:caps/>
      <w:sz w:val="28"/>
      <w:szCs w:val="28"/>
      <w:lang w:val="it-IT" w:eastAsia="it-IT" w:bidi="ar-SA"/>
    </w:rPr>
  </w:style>
  <w:style w:type="paragraph" w:customStyle="1" w:styleId="11">
    <w:name w:val="Τίτλος1"/>
    <w:basedOn w:val="10"/>
    <w:next w:val="Bodyofthedocument"/>
    <w:rsid w:val="000B1ABD"/>
  </w:style>
  <w:style w:type="character" w:styleId="-">
    <w:name w:val="Hyperlink"/>
    <w:uiPriority w:val="99"/>
    <w:rsid w:val="008B3A01"/>
    <w:rPr>
      <w:rFonts w:cs="Times New Roman"/>
      <w:color w:val="0000FF"/>
      <w:u w:val="single"/>
    </w:rPr>
  </w:style>
  <w:style w:type="paragraph" w:styleId="a3">
    <w:name w:val="Balloon Text"/>
    <w:basedOn w:val="a"/>
    <w:link w:val="Char"/>
    <w:uiPriority w:val="99"/>
    <w:semiHidden/>
    <w:unhideWhenUsed/>
    <w:rsid w:val="009B637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6377"/>
    <w:rPr>
      <w:rFonts w:ascii="Tahoma" w:hAnsi="Tahoma" w:cs="Tahoma"/>
      <w:sz w:val="16"/>
      <w:szCs w:val="16"/>
      <w:lang w:val="it-IT" w:eastAsia="it-IT"/>
    </w:rPr>
  </w:style>
  <w:style w:type="paragraph" w:customStyle="1" w:styleId="AUTHORSNAMES">
    <w:name w:val="AUTHORS NAMES"/>
    <w:basedOn w:val="a"/>
    <w:qFormat/>
    <w:rsid w:val="00122452"/>
    <w:pPr>
      <w:spacing w:before="120" w:after="120"/>
      <w:jc w:val="left"/>
    </w:pPr>
    <w:rPr>
      <w:b/>
      <w:sz w:val="22"/>
      <w:lang w:val="tr-TR" w:eastAsia="tr-TR"/>
    </w:rPr>
  </w:style>
  <w:style w:type="character" w:customStyle="1" w:styleId="12">
    <w:name w:val="Ανεπίλυτη αναφορά1"/>
    <w:basedOn w:val="a0"/>
    <w:uiPriority w:val="99"/>
    <w:semiHidden/>
    <w:unhideWhenUsed/>
    <w:rsid w:val="00DA1C80"/>
    <w:rPr>
      <w:color w:val="605E5C"/>
      <w:shd w:val="clear" w:color="auto" w:fill="E1DFDD"/>
    </w:rPr>
  </w:style>
  <w:style w:type="paragraph" w:styleId="a4">
    <w:name w:val="List Paragraph"/>
    <w:basedOn w:val="a"/>
    <w:uiPriority w:val="34"/>
    <w:qFormat/>
    <w:rsid w:val="00C5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oula@uow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rodou@isc.tuc.gr" TargetMode="External"/><Relationship Id="rId11" Type="http://schemas.openxmlformats.org/officeDocument/2006/relationships/image" Target="media/image4.emf"/><Relationship Id="rId5" Type="http://schemas.openxmlformats.org/officeDocument/2006/relationships/hyperlink" Target="mailto:yyentek@isc.tuc.gr"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2793</Characters>
  <Application>Microsoft Office Word</Application>
  <DocSecurity>0</DocSecurity>
  <Lines>23</Lines>
  <Paragraphs>6</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FULL SCALE APPLICATION OF IN SITU AEROBIC STABILIZATION OF OLD LANDFILLS</vt:lpstr>
      <vt:lpstr>FULL SCALE APPLICATION OF IN SITU AEROBIC STABILIZATION OF OLD LANDFILLS</vt:lpstr>
      <vt:lpstr>FULL SCALE APPLICATION OF IN SITU AEROBIC STABILIZATION OF OLD LANDFILLS </vt:lpstr>
    </vt:vector>
  </TitlesOfParts>
  <Company>image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SCALE APPLICATION OF IN SITU AEROBIC STABILIZATION OF OLD LANDFILLS</dc:title>
  <dc:creator>iat</dc:creator>
  <cp:lastModifiedBy>Katia Drosou</cp:lastModifiedBy>
  <cp:revision>3</cp:revision>
  <cp:lastPrinted>2009-05-28T14:35:00Z</cp:lastPrinted>
  <dcterms:created xsi:type="dcterms:W3CDTF">2021-05-17T06:48:00Z</dcterms:created>
  <dcterms:modified xsi:type="dcterms:W3CDTF">2021-05-17T06:54:00Z</dcterms:modified>
</cp:coreProperties>
</file>